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C7" w:rsidRDefault="00E5295E">
      <w:pPr>
        <w:jc w:val="center"/>
        <w:rPr>
          <w:rFonts w:ascii="Arial" w:eastAsia="Arial" w:hAnsi="Arial" w:cs="Arial"/>
          <w:b/>
          <w:color w:val="000000"/>
        </w:rPr>
      </w:pPr>
      <w:r>
        <w:rPr>
          <w:rFonts w:ascii="Arial" w:eastAsia="Arial" w:hAnsi="Arial" w:cs="Arial"/>
          <w:b/>
        </w:rPr>
        <w:t>ANEXO TÉCNICO</w:t>
      </w:r>
    </w:p>
    <w:p w:rsidR="005F7AC7" w:rsidRDefault="005F7AC7">
      <w:pPr>
        <w:pBdr>
          <w:top w:val="nil"/>
          <w:left w:val="nil"/>
          <w:bottom w:val="nil"/>
          <w:right w:val="nil"/>
          <w:between w:val="nil"/>
        </w:pBdr>
        <w:jc w:val="center"/>
        <w:rPr>
          <w:rFonts w:ascii="Arial" w:eastAsia="Arial" w:hAnsi="Arial" w:cs="Arial"/>
          <w:b/>
          <w:color w:val="000000"/>
        </w:rPr>
      </w:pPr>
    </w:p>
    <w:p w:rsidR="005F7AC7" w:rsidRDefault="005F7AC7">
      <w:pPr>
        <w:pStyle w:val="Ttulo1"/>
        <w:spacing w:before="0"/>
        <w:jc w:val="center"/>
        <w:rPr>
          <w:rFonts w:ascii="Arial" w:eastAsia="Arial" w:hAnsi="Arial" w:cs="Arial"/>
          <w:sz w:val="24"/>
          <w:szCs w:val="24"/>
        </w:rPr>
      </w:pPr>
      <w:bookmarkStart w:id="0" w:name="_heading=h.q61nnzazsbh" w:colFirst="0" w:colLast="0"/>
      <w:bookmarkEnd w:id="0"/>
    </w:p>
    <w:p w:rsidR="005F7AC7" w:rsidRDefault="00E5295E">
      <w:pPr>
        <w:pStyle w:val="Ttulo1"/>
        <w:spacing w:before="0"/>
        <w:jc w:val="center"/>
        <w:rPr>
          <w:rFonts w:ascii="Arial" w:eastAsia="Arial" w:hAnsi="Arial" w:cs="Arial"/>
          <w:b/>
          <w:sz w:val="24"/>
          <w:szCs w:val="24"/>
        </w:rPr>
      </w:pPr>
      <w:r>
        <w:rPr>
          <w:rFonts w:ascii="Arial" w:eastAsia="Arial" w:hAnsi="Arial" w:cs="Arial"/>
          <w:b/>
          <w:sz w:val="24"/>
          <w:szCs w:val="24"/>
        </w:rPr>
        <w:t>ANEXO No. 1</w:t>
      </w:r>
    </w:p>
    <w:p w:rsidR="005F7AC7" w:rsidRDefault="005F7AC7"/>
    <w:p w:rsidR="005F7AC7" w:rsidRDefault="00E5295E">
      <w:pPr>
        <w:jc w:val="center"/>
        <w:rPr>
          <w:rFonts w:ascii="Arial" w:eastAsia="Arial" w:hAnsi="Arial" w:cs="Arial"/>
          <w:b/>
        </w:rPr>
      </w:pPr>
      <w:r>
        <w:rPr>
          <w:rFonts w:ascii="Arial" w:eastAsia="Arial" w:hAnsi="Arial" w:cs="Arial"/>
          <w:b/>
        </w:rPr>
        <w:t>Módulos Sistema Único de Reporte de Información del Cálculo Tarifario – SURICATA Aseo</w:t>
      </w:r>
    </w:p>
    <w:p w:rsidR="005F7AC7" w:rsidRDefault="005F7AC7">
      <w:pPr>
        <w:rPr>
          <w:rFonts w:ascii="Arial" w:eastAsia="Arial" w:hAnsi="Arial" w:cs="Arial"/>
          <w:sz w:val="20"/>
          <w:szCs w:val="20"/>
        </w:rPr>
      </w:pPr>
    </w:p>
    <w:p w:rsidR="005F7AC7" w:rsidRDefault="00E5295E">
      <w:pPr>
        <w:jc w:val="both"/>
        <w:rPr>
          <w:rFonts w:ascii="Arial" w:eastAsia="Arial" w:hAnsi="Arial" w:cs="Arial"/>
          <w:sz w:val="22"/>
          <w:szCs w:val="22"/>
        </w:rPr>
      </w:pPr>
      <w:r>
        <w:rPr>
          <w:rFonts w:ascii="Arial" w:eastAsia="Arial" w:hAnsi="Arial" w:cs="Arial"/>
          <w:sz w:val="22"/>
          <w:szCs w:val="22"/>
        </w:rPr>
        <w:t>Con el fin de cumplir con lo señalado en el artículo 53 y en los numerales 4, 22 y 36 del artículo 79 de la Ley 142 de 1994, modificado y adicionado por los artículos 13 de la Ley 689 de 2001 y 15 de la Ley 1955 de 2019, así como lo previsto en el artículo 8 del Decreto 1369 de 2020, la Superintendencia de Servicios Públicos Domiciliarios ha desarrollado un aplicativo de reporte y vigilancia de la información tarifaria del servicio público de aseo, destinado específicamente para el reporte de información relativa a la aplicación de las disposiciones contenidas en la Resolución de la Comisión de Regulación de Agua Potable y Saneamiento Básico (CRA) 853 de 2018, hoy compilada en la Resolución CRA 943 de 2021.</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mencionado aplicativo, se surtirá de la información proveniente de las personas prestadoras del servicio público de aseo en el ámbito de aplicación de la Resolución CRA 853 de 2018 y, entre otros aspectos, permite lo siguiente:</w:t>
      </w:r>
    </w:p>
    <w:p w:rsidR="005F7AC7" w:rsidRDefault="005F7AC7">
      <w:pPr>
        <w:jc w:val="both"/>
        <w:rPr>
          <w:rFonts w:ascii="Arial" w:eastAsia="Arial" w:hAnsi="Arial" w:cs="Arial"/>
          <w:sz w:val="22"/>
          <w:szCs w:val="22"/>
        </w:rPr>
      </w:pP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ingreso al aplicativo a través del portal web del Sistema Único de Información – SUI-, utilizando el usuario y contraseña determinados para el reporte de toda la información a la que están obligadas las personas prestadoras incluidas en el ámbito de aplicación señalado en la resolución.</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creación del Número Único de Identificación del Área de Prestación del Servicio – NUAP, el cual incorpora el código DANE del municipio en el que se localiza el área de prestación del servicio, y la determinación del segmento o esquema aplicable a cada una de ellas.</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creación del Número Único de Identificación del Esquema Regional – NUER, a partir de los NUAP registrados como pertenecientes al Esquema de Prestación Regional en donde todas las APS se encuentran en municipios con hasta 5.000 suscriptores en el área urbana, o al Esquema de Prestación Regional en donde alguna de las APS se encuentra en un municipio con más de 5.000 suscriptores en el área urbana, señalados en la Resolución CRA 853 de 2018.</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reporte para cada vigencia de los costos estimados para el servicio público de aseo.</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reporte de documentos en formato pdf o zip como son: el acto de aprobación de tarifas, el estudio de costos y tarifas, el Programa para la Prestación del Servicio de Aseo – PPSA, la publicación de tarifas, el acta de audiencia pública, el centroide, el acuerdo de barrido y limpieza, el acuerdo de limpieza urbana y, si aplica, los soportes del contrato que haya dado lugar a la determinación de una tarifa contractual.</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reporte de información de sitios de destino utilizados por los prestadores del servicio público de aseo, entendidos como sitios de disposición final, estaciones de transferencia, estaciones de clasificación y tratamiento, e instalaciones de tratamiento de residuos.</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guardado parcial de la información reportada.</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Navegar el aplicativo por módulo (Configuración, CFT, CVNA y CVA), y el registro de información según se esté reportando información para un área de prestación de servicio (NUAP), para un sitio de disposición final (NUSD) y/o para una instalación de tratamiento de residuos (NUIT).</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validación informativa de las fórmulas tarifarias, que permite a las personas prestadoras del servicio público de aseo en el ámbito de aplicación de la Resolución CRA 853 de 2018 verificar la información diligenciada antes de certificarla. Es importante mencionar que esta validación, al ser estrictamente informativa, no limita en forma alguna el reporte de información al aplicativo.</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obtención de un reporte consolidado de la información reportada y certificada.</w:t>
      </w:r>
    </w:p>
    <w:p w:rsidR="005F7AC7" w:rsidRDefault="00E5295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realización de reversiones a la información certificada.</w:t>
      </w:r>
    </w:p>
    <w:p w:rsidR="005F7AC7" w:rsidRDefault="005F7AC7">
      <w:pPr>
        <w:rPr>
          <w:rFonts w:ascii="Arial" w:eastAsia="Arial" w:hAnsi="Arial" w:cs="Arial"/>
          <w:sz w:val="22"/>
          <w:szCs w:val="22"/>
        </w:rPr>
      </w:pPr>
    </w:p>
    <w:p w:rsidR="005F7AC7" w:rsidRDefault="00E5295E">
      <w:pPr>
        <w:rPr>
          <w:rFonts w:ascii="Arial" w:eastAsia="Arial" w:hAnsi="Arial" w:cs="Arial"/>
          <w:sz w:val="22"/>
          <w:szCs w:val="22"/>
        </w:rPr>
      </w:pPr>
      <w:r>
        <w:rPr>
          <w:rFonts w:ascii="Arial" w:eastAsia="Arial" w:hAnsi="Arial" w:cs="Arial"/>
          <w:sz w:val="22"/>
          <w:szCs w:val="22"/>
        </w:rPr>
        <w:t>De esta forma, el aplicativo cuenta con cuatro (4) módulos de reporte:</w:t>
      </w:r>
    </w:p>
    <w:p w:rsidR="005F7AC7" w:rsidRDefault="005F7AC7">
      <w:pPr>
        <w:rPr>
          <w:rFonts w:ascii="Arial" w:eastAsia="Arial" w:hAnsi="Arial" w:cs="Arial"/>
          <w:sz w:val="22"/>
          <w:szCs w:val="22"/>
        </w:rPr>
      </w:pPr>
    </w:p>
    <w:p w:rsidR="005F7AC7" w:rsidRDefault="00E5295E">
      <w:pPr>
        <w:numPr>
          <w:ilvl w:val="1"/>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de configuración</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En este módulo, la persona prestadora del servicio público de aseo establece las características del área de prestación del servicio en la cual desarrolla su objeto social, el segmento o esquema aplicable según lo definido en la Resolución CRA 853 de 2018, la fecha de inicio de aplicación de esa metodología tarifaria, así como los sitios de destino a los que se transportan los residuos sólidos recogidos en cada área de prestación.</w:t>
      </w:r>
    </w:p>
    <w:p w:rsidR="005F7AC7" w:rsidRDefault="005F7AC7">
      <w:pPr>
        <w:rPr>
          <w:rFonts w:ascii="Arial" w:eastAsia="Arial" w:hAnsi="Arial" w:cs="Arial"/>
          <w:sz w:val="22"/>
          <w:szCs w:val="22"/>
        </w:rPr>
      </w:pPr>
    </w:p>
    <w:p w:rsidR="005F7AC7" w:rsidRDefault="00E5295E">
      <w:pPr>
        <w:numPr>
          <w:ilvl w:val="1"/>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CFT</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Se registra la información correspondiente a los parámetros y costos establecidos para las actividades de comercialización, barrido y limpieza, limpieza urbana, el costo de aseguramiento y gestión social por suscriptor del servicio público de aseo en el APSD en zonas de difícil acceso definida en el municipio, y el Costo Fijo Total (CFT) adoptado por el prestador, así:</w:t>
      </w:r>
    </w:p>
    <w:p w:rsidR="005F7AC7" w:rsidRDefault="005F7AC7">
      <w:pPr>
        <w:rPr>
          <w:rFonts w:ascii="Arial" w:eastAsia="Arial" w:hAnsi="Arial" w:cs="Arial"/>
          <w:sz w:val="22"/>
          <w:szCs w:val="22"/>
        </w:rPr>
      </w:pPr>
    </w:p>
    <w:p w:rsidR="005F7AC7" w:rsidRDefault="00E5295E">
      <w:pPr>
        <w:numPr>
          <w:ilvl w:val="0"/>
          <w:numId w:val="4"/>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CCS</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 xml:space="preserve">El prestador que tiene en el Registro Único de Prestadores de Servicios Públicos (RUPS) la actividad Recolección y Transporte de Residuos No Aprovechables registra para cada NUAP con qué otro servicio se realiza la facturación conjunta del servicio público de aseo (o si se realiza facturación directa del mismo), si en el municipio se presta la actividad de aprovechamiento, el número de suscriptores facturados conjuntamente con cada servicio, los parámetros del precio mínimo y el precio máximo, y el Costo de Comercialización por Suscriptor (CCS) adoptado por la persona prestadora. </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rPr>
          <w:rFonts w:ascii="Arial" w:eastAsia="Arial" w:hAnsi="Arial" w:cs="Arial"/>
          <w:sz w:val="22"/>
          <w:szCs w:val="22"/>
        </w:rPr>
      </w:pPr>
    </w:p>
    <w:p w:rsidR="005F7AC7" w:rsidRPr="00F17513" w:rsidRDefault="00E5295E">
      <w:pPr>
        <w:numPr>
          <w:ilvl w:val="0"/>
          <w:numId w:val="4"/>
        </w:numPr>
        <w:pBdr>
          <w:top w:val="nil"/>
          <w:left w:val="nil"/>
          <w:bottom w:val="nil"/>
          <w:right w:val="nil"/>
          <w:between w:val="nil"/>
        </w:pBdr>
        <w:rPr>
          <w:rFonts w:ascii="Arial" w:eastAsia="Arial" w:hAnsi="Arial" w:cs="Arial"/>
          <w:b/>
          <w:color w:val="000000"/>
          <w:sz w:val="22"/>
          <w:szCs w:val="22"/>
          <w:lang w:val="en-AU"/>
        </w:rPr>
      </w:pPr>
      <w:r w:rsidRPr="00F17513">
        <w:rPr>
          <w:rFonts w:ascii="Arial" w:eastAsia="Arial" w:hAnsi="Arial" w:cs="Arial"/>
          <w:b/>
          <w:color w:val="000000"/>
          <w:sz w:val="22"/>
          <w:szCs w:val="22"/>
          <w:lang w:val="en-AU"/>
        </w:rPr>
        <w:t>Módulo CBLS, CRLUS, CLUS, CBLUS, CBICS</w:t>
      </w:r>
    </w:p>
    <w:p w:rsidR="005F7AC7" w:rsidRPr="00F17513" w:rsidRDefault="005F7AC7">
      <w:pPr>
        <w:rPr>
          <w:rFonts w:ascii="Arial" w:eastAsia="Arial" w:hAnsi="Arial" w:cs="Arial"/>
          <w:sz w:val="22"/>
          <w:szCs w:val="22"/>
          <w:lang w:val="en-AU"/>
        </w:rPr>
      </w:pPr>
    </w:p>
    <w:p w:rsidR="005F7AC7" w:rsidRDefault="00E5295E">
      <w:pPr>
        <w:jc w:val="both"/>
        <w:rPr>
          <w:rFonts w:ascii="Arial" w:eastAsia="Arial" w:hAnsi="Arial" w:cs="Arial"/>
          <w:sz w:val="22"/>
          <w:szCs w:val="22"/>
        </w:rPr>
      </w:pPr>
      <w:r>
        <w:rPr>
          <w:rFonts w:ascii="Arial" w:eastAsia="Arial" w:hAnsi="Arial" w:cs="Arial"/>
          <w:sz w:val="22"/>
          <w:szCs w:val="22"/>
        </w:rPr>
        <w:t xml:space="preserve">El prestador que tiene en RUPS la actividad Recolección y Transporte de Residuos No Aprovechables registra para cada NUAP la longitud mensual en kilómetros de vías y áreas públicas barridas según las frecuencias definidas para el municipio en el Plan de Gestión Integral de Residuos Sólidos - PGIRS y el Programa para la Prestación del Servicio de Aseo – PPSA, el número de suscriptores, los parámetros del precio mínimo y el precio máximo, y el Costo de Barrido y Limpieza de Vías y Áreas Públicas por Suscriptor (CBLS), o el Costo de Limpieza </w:t>
      </w:r>
      <w:r>
        <w:rPr>
          <w:rFonts w:ascii="Arial" w:eastAsia="Arial" w:hAnsi="Arial" w:cs="Arial"/>
          <w:sz w:val="22"/>
          <w:szCs w:val="22"/>
        </w:rPr>
        <w:lastRenderedPageBreak/>
        <w:t>Urbana por suscriptor (CRLUS, CLUS), o el Costo de Barrido y limpieza de vías y áreas públicas y Limpieza Urbana por Suscriptor (CBLUS), o el Costo de Barrido y Limpieza de vías y áreas públicas barridas, mantenimiento e instalación de cestas por suscriptor (CBICS), adoptado por la persona prestadora.</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rPr>
          <w:rFonts w:ascii="Arial" w:eastAsia="Arial" w:hAnsi="Arial" w:cs="Arial"/>
          <w:sz w:val="22"/>
          <w:szCs w:val="22"/>
        </w:rPr>
      </w:pPr>
    </w:p>
    <w:p w:rsidR="005F7AC7" w:rsidRDefault="00E5295E">
      <w:pPr>
        <w:numPr>
          <w:ilvl w:val="0"/>
          <w:numId w:val="4"/>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CMAG</w:t>
      </w:r>
      <w:r>
        <w:rPr>
          <w:rFonts w:ascii="Arial" w:eastAsia="Arial" w:hAnsi="Arial" w:cs="Arial"/>
          <w:b/>
          <w:color w:val="000000"/>
          <w:sz w:val="22"/>
          <w:szCs w:val="22"/>
          <w:vertAlign w:val="subscript"/>
        </w:rPr>
        <w:t>ZDA</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la actividad Recolección y Transporte de Residuos No Aprovechables registra para cada NUAP los parámetros para el cálculo del costo total incurrido durante el año fiscal inmediatamente anterior de las actividades del Plan de Aseguramiento del Esquema Diferencial – PAED, el número de suscriptores, y el Costo de aseguramiento y gestión social por suscriptor del servicio público en zonas de difícil acceso (CMAG</w:t>
      </w:r>
      <w:r>
        <w:rPr>
          <w:rFonts w:ascii="Arial" w:eastAsia="Arial" w:hAnsi="Arial" w:cs="Arial"/>
          <w:sz w:val="22"/>
          <w:szCs w:val="22"/>
          <w:vertAlign w:val="subscript"/>
        </w:rPr>
        <w:t>ZDA</w:t>
      </w:r>
      <w:r>
        <w:rPr>
          <w:rFonts w:ascii="Arial" w:eastAsia="Arial" w:hAnsi="Arial" w:cs="Arial"/>
          <w:sz w:val="22"/>
          <w:szCs w:val="22"/>
        </w:rPr>
        <w:t>), adoptado por el prestador.</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al Esquema de Prestación en Zonas de Difícil Acceso.</w:t>
      </w:r>
    </w:p>
    <w:p w:rsidR="005F7AC7" w:rsidRDefault="005F7AC7">
      <w:pPr>
        <w:rPr>
          <w:rFonts w:ascii="Arial" w:eastAsia="Arial" w:hAnsi="Arial" w:cs="Arial"/>
          <w:sz w:val="22"/>
          <w:szCs w:val="22"/>
        </w:rPr>
      </w:pPr>
    </w:p>
    <w:p w:rsidR="005F7AC7" w:rsidRDefault="00E5295E">
      <w:pPr>
        <w:numPr>
          <w:ilvl w:val="1"/>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CVNA</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En este módulo, la persona prestadora del servicio público de aseo registra la información correspondiente a los parámetros y costos establecidos para las actividades de recolección y transporte de residuos sólidos no aprovechables, disposición final de residuos, el costo de tratamiento de residuos sólidos, y el Costo Variable por Tonelada de Residuos sólidos No Aprovechables (CVNA) adoptado por el prestador así:</w:t>
      </w:r>
    </w:p>
    <w:p w:rsidR="005F7AC7" w:rsidRDefault="005F7AC7">
      <w:pPr>
        <w:rPr>
          <w:rFonts w:ascii="Arial" w:eastAsia="Arial" w:hAnsi="Arial" w:cs="Arial"/>
          <w:sz w:val="22"/>
          <w:szCs w:val="22"/>
        </w:rPr>
      </w:pPr>
    </w:p>
    <w:p w:rsidR="005F7AC7" w:rsidRDefault="00E5295E">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CRT</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la actividad Recolección y Transporte de Residuos No Aprovechables registra para cada NUAP las toneladas recolectadas y transportadas al (a los) sitio(s) de destino, los parámetros del precio mínimo y el precio máximo, la inclusión de incentivos a infraestructura regional, incrementos por salinidad, y la inclusión de aportes bajo condición aplicables a la actividad, así como el Costo de Recolección y Transporte (CRT) adoptado por el prestador.</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rPr>
          <w:rFonts w:ascii="Arial" w:eastAsia="Arial" w:hAnsi="Arial" w:cs="Arial"/>
          <w:b/>
          <w:sz w:val="22"/>
          <w:szCs w:val="22"/>
        </w:rPr>
      </w:pPr>
    </w:p>
    <w:p w:rsidR="005F7AC7" w:rsidRDefault="00E5295E">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CDFT</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registrada la actividad Disposición Final, para cada sitio de disposición final que opere con menos de 300 toneladas mensuales, las toneladas de residuos sólidos que se reciben en el sitio de disposición final, información relacionada con la duración del periodo de posclausura y el escenario de tratamiento de lixiviados establecido por la autoridad ambiental en la norma de vertimientos o la respectiva licencia ambiental, el volumen promedio mensual de lixiviados tratados en el sitio de disposición final, y la inclusión de aportes bajo condición aplicables a la actividad, así como el Costo de Disposición Final Total (CDFT) adoptado por el prestador.</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la actividad Recolección y Transporte de Residuos No Aprovechables registra para cada NUAP las toneladas de residuos sólidos del APS que se disponen en cada sitio de disposición final, así como el Costo de Disposición Final Total (CDFT) trasladado en la tarifa.</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jc w:val="both"/>
        <w:rPr>
          <w:rFonts w:ascii="Arial" w:eastAsia="Arial" w:hAnsi="Arial" w:cs="Arial"/>
          <w:sz w:val="22"/>
          <w:szCs w:val="22"/>
        </w:rPr>
      </w:pPr>
    </w:p>
    <w:p w:rsidR="005F7AC7" w:rsidRDefault="00E5295E">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CT</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la actividad Tratamiento de residuos sólidos registra, para cada instalación de tratamiento que opere, las toneladas de residuos orgánicos biodegradables que se reciben en la instalación, y la inclusión de aportes bajo condición aplicables a la actividad, así como el Costo de Tratamiento (CT) adoptado por el prestador.</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El prestador que tiene en RUPS la actividad Recolección y Transporte de Residuos No Aprovechables registra para cada NUAP el Costo de Tratamiento (CT) trasladado en la tarifa.</w:t>
      </w:r>
    </w:p>
    <w:p w:rsidR="005F7AC7" w:rsidRDefault="005F7AC7">
      <w:pPr>
        <w:jc w:val="both"/>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rPr>
          <w:rFonts w:ascii="Arial" w:eastAsia="Arial" w:hAnsi="Arial" w:cs="Arial"/>
          <w:sz w:val="22"/>
          <w:szCs w:val="22"/>
        </w:rPr>
      </w:pPr>
    </w:p>
    <w:p w:rsidR="005F7AC7" w:rsidRDefault="00E5295E">
      <w:pPr>
        <w:numPr>
          <w:ilvl w:val="1"/>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Módulo CVA</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En este módulo, la persona prestadora del servicio público de aseo que tiene en RUPS la actividad Recolección y Transporte de Residuos No Aprovechables registra para cada NUAP el Costo Promedio de Recolección y Transporte y el Costo Promedio de Disposición Final de residuos sólidos no aprovechables aplicados para el cálculo del CVA, así como el Costo Variable por Tonelada de Residuos Efectivamente Aprovechados (CVA) adoptado por el prestador.</w:t>
      </w:r>
    </w:p>
    <w:p w:rsidR="005F7AC7" w:rsidRDefault="005F7AC7">
      <w:pPr>
        <w:rPr>
          <w:rFonts w:ascii="Arial" w:eastAsia="Arial" w:hAnsi="Arial" w:cs="Arial"/>
          <w:sz w:val="22"/>
          <w:szCs w:val="22"/>
        </w:rPr>
      </w:pPr>
    </w:p>
    <w:p w:rsidR="005F7AC7" w:rsidRDefault="00E5295E">
      <w:pPr>
        <w:jc w:val="both"/>
        <w:rPr>
          <w:rFonts w:ascii="Arial" w:eastAsia="Arial" w:hAnsi="Arial" w:cs="Arial"/>
          <w:sz w:val="22"/>
          <w:szCs w:val="22"/>
        </w:rPr>
      </w:pPr>
      <w:r>
        <w:rPr>
          <w:rFonts w:ascii="Arial" w:eastAsia="Arial" w:hAnsi="Arial" w:cs="Arial"/>
          <w:sz w:val="22"/>
          <w:szCs w:val="22"/>
        </w:rPr>
        <w:t>Todo lo anterior, de conformidad con los requerimientos establecidos en la regulación aplicable a cada segmento o esquema de prestación.</w:t>
      </w: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ED2A81" w:rsidRDefault="00ED2A81">
      <w:pPr>
        <w:rPr>
          <w:rFonts w:ascii="Arial" w:eastAsia="Arial" w:hAnsi="Arial" w:cs="Arial"/>
          <w:sz w:val="22"/>
          <w:szCs w:val="22"/>
        </w:rPr>
      </w:pPr>
    </w:p>
    <w:p w:rsidR="00ED2A81" w:rsidRDefault="00ED2A81">
      <w:pPr>
        <w:rPr>
          <w:rFonts w:ascii="Arial" w:eastAsia="Arial" w:hAnsi="Arial" w:cs="Arial"/>
          <w:sz w:val="22"/>
          <w:szCs w:val="22"/>
        </w:rPr>
      </w:pPr>
    </w:p>
    <w:p w:rsidR="00ED2A81" w:rsidRDefault="00ED2A81">
      <w:pPr>
        <w:rPr>
          <w:rFonts w:ascii="Arial" w:eastAsia="Arial" w:hAnsi="Arial" w:cs="Arial"/>
          <w:sz w:val="22"/>
          <w:szCs w:val="22"/>
        </w:rPr>
      </w:pPr>
    </w:p>
    <w:p w:rsidR="00ED2A81" w:rsidRDefault="00ED2A81">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5F7AC7">
      <w:pPr>
        <w:rPr>
          <w:rFonts w:ascii="Arial" w:eastAsia="Arial" w:hAnsi="Arial" w:cs="Arial"/>
          <w:sz w:val="22"/>
          <w:szCs w:val="22"/>
        </w:rPr>
      </w:pPr>
    </w:p>
    <w:p w:rsidR="005F7AC7" w:rsidRDefault="00E5295E">
      <w:pPr>
        <w:pStyle w:val="Ttulo1"/>
        <w:spacing w:before="0"/>
        <w:jc w:val="center"/>
        <w:rPr>
          <w:rFonts w:ascii="Arial" w:eastAsia="Arial" w:hAnsi="Arial" w:cs="Arial"/>
          <w:b/>
          <w:sz w:val="24"/>
          <w:szCs w:val="24"/>
        </w:rPr>
      </w:pPr>
      <w:bookmarkStart w:id="1" w:name="_heading=h.kvkw9gkmkmlq" w:colFirst="0" w:colLast="0"/>
      <w:bookmarkEnd w:id="1"/>
      <w:r>
        <w:rPr>
          <w:rFonts w:ascii="Arial" w:eastAsia="Arial" w:hAnsi="Arial" w:cs="Arial"/>
          <w:b/>
          <w:sz w:val="24"/>
          <w:szCs w:val="24"/>
        </w:rPr>
        <w:lastRenderedPageBreak/>
        <w:t xml:space="preserve">ANEXO No. 2 </w:t>
      </w:r>
    </w:p>
    <w:p w:rsidR="005F7AC7" w:rsidRDefault="005F7AC7"/>
    <w:p w:rsidR="005F7AC7" w:rsidRDefault="00E5295E">
      <w:pPr>
        <w:jc w:val="center"/>
        <w:rPr>
          <w:rFonts w:ascii="Arial" w:eastAsia="Arial" w:hAnsi="Arial" w:cs="Arial"/>
          <w:b/>
        </w:rPr>
      </w:pPr>
      <w:r>
        <w:rPr>
          <w:rFonts w:ascii="Arial" w:eastAsia="Arial" w:hAnsi="Arial" w:cs="Arial"/>
          <w:b/>
        </w:rPr>
        <w:t>Cronograma de reporte</w:t>
      </w:r>
    </w:p>
    <w:p w:rsidR="005F7AC7" w:rsidRDefault="005F7AC7">
      <w:pPr>
        <w:rPr>
          <w:rFonts w:ascii="Arial" w:eastAsia="Arial" w:hAnsi="Arial" w:cs="Arial"/>
          <w:sz w:val="22"/>
          <w:szCs w:val="22"/>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506"/>
        <w:gridCol w:w="1605"/>
        <w:gridCol w:w="2876"/>
      </w:tblGrid>
      <w:tr w:rsidR="00ED2A81" w:rsidRPr="00246582" w:rsidTr="008D1392">
        <w:trPr>
          <w:trHeight w:val="618"/>
        </w:trPr>
        <w:tc>
          <w:tcPr>
            <w:tcW w:w="2405" w:type="dxa"/>
            <w:shd w:val="clear" w:color="auto" w:fill="auto"/>
            <w:tcMar>
              <w:top w:w="15" w:type="dxa"/>
              <w:left w:w="15" w:type="dxa"/>
              <w:bottom w:w="0" w:type="dxa"/>
              <w:right w:w="15" w:type="dxa"/>
            </w:tcMar>
            <w:vAlign w:val="center"/>
            <w:hideMark/>
          </w:tcPr>
          <w:p w:rsidR="00ED2A81" w:rsidRPr="00246582" w:rsidRDefault="00ED2A81" w:rsidP="00DC2A25">
            <w:pPr>
              <w:suppressAutoHyphens w:val="0"/>
              <w:jc w:val="center"/>
              <w:rPr>
                <w:rFonts w:ascii="Arial" w:hAnsi="Arial" w:cs="Arial"/>
                <w:b/>
                <w:bCs/>
                <w:color w:val="000000"/>
                <w:sz w:val="20"/>
                <w:szCs w:val="20"/>
                <w:lang w:eastAsia="es-CO"/>
              </w:rPr>
            </w:pPr>
            <w:r w:rsidRPr="00246582">
              <w:rPr>
                <w:rFonts w:ascii="Arial" w:hAnsi="Arial" w:cs="Arial"/>
                <w:b/>
                <w:bCs/>
                <w:color w:val="000000"/>
                <w:sz w:val="20"/>
                <w:szCs w:val="20"/>
              </w:rPr>
              <w:t xml:space="preserve">Nombre del reporte </w:t>
            </w:r>
          </w:p>
        </w:tc>
        <w:tc>
          <w:tcPr>
            <w:tcW w:w="2506" w:type="dxa"/>
            <w:shd w:val="clear" w:color="auto" w:fill="auto"/>
            <w:tcMar>
              <w:top w:w="15" w:type="dxa"/>
              <w:left w:w="15" w:type="dxa"/>
              <w:bottom w:w="0" w:type="dxa"/>
              <w:right w:w="15" w:type="dxa"/>
            </w:tcMar>
            <w:vAlign w:val="center"/>
            <w:hideMark/>
          </w:tcPr>
          <w:p w:rsidR="00ED2A81" w:rsidRPr="00246582" w:rsidRDefault="00ED2A81" w:rsidP="00DC2A25">
            <w:pPr>
              <w:jc w:val="center"/>
              <w:rPr>
                <w:rFonts w:ascii="Arial" w:hAnsi="Arial" w:cs="Arial"/>
                <w:b/>
                <w:bCs/>
                <w:color w:val="000000"/>
                <w:sz w:val="20"/>
                <w:szCs w:val="20"/>
              </w:rPr>
            </w:pPr>
            <w:r w:rsidRPr="00246582">
              <w:rPr>
                <w:rFonts w:ascii="Arial" w:hAnsi="Arial" w:cs="Arial"/>
                <w:b/>
                <w:bCs/>
                <w:color w:val="000000"/>
                <w:sz w:val="20"/>
                <w:szCs w:val="20"/>
              </w:rPr>
              <w:t>Periodicidad</w:t>
            </w:r>
          </w:p>
        </w:tc>
        <w:tc>
          <w:tcPr>
            <w:tcW w:w="1605" w:type="dxa"/>
            <w:shd w:val="clear" w:color="auto" w:fill="auto"/>
            <w:tcMar>
              <w:top w:w="15" w:type="dxa"/>
              <w:left w:w="15" w:type="dxa"/>
              <w:bottom w:w="0" w:type="dxa"/>
              <w:right w:w="15" w:type="dxa"/>
            </w:tcMar>
            <w:vAlign w:val="center"/>
            <w:hideMark/>
          </w:tcPr>
          <w:p w:rsidR="00ED2A81" w:rsidRPr="00246582" w:rsidRDefault="00246582" w:rsidP="00DC2A25">
            <w:pPr>
              <w:jc w:val="center"/>
              <w:rPr>
                <w:rFonts w:ascii="Arial" w:hAnsi="Arial" w:cs="Arial"/>
                <w:b/>
                <w:bCs/>
                <w:color w:val="000000"/>
                <w:sz w:val="20"/>
                <w:szCs w:val="20"/>
              </w:rPr>
            </w:pPr>
            <w:r w:rsidRPr="00246582">
              <w:rPr>
                <w:rFonts w:ascii="Arial" w:hAnsi="Arial" w:cs="Arial"/>
                <w:b/>
                <w:bCs/>
                <w:color w:val="000000"/>
                <w:sz w:val="20"/>
                <w:szCs w:val="20"/>
              </w:rPr>
              <w:t>Periodos a reportar</w:t>
            </w:r>
          </w:p>
        </w:tc>
        <w:tc>
          <w:tcPr>
            <w:tcW w:w="2876" w:type="dxa"/>
            <w:shd w:val="clear" w:color="auto" w:fill="auto"/>
            <w:tcMar>
              <w:top w:w="15" w:type="dxa"/>
              <w:left w:w="15" w:type="dxa"/>
              <w:bottom w:w="0" w:type="dxa"/>
              <w:right w:w="15" w:type="dxa"/>
            </w:tcMar>
            <w:vAlign w:val="center"/>
            <w:hideMark/>
          </w:tcPr>
          <w:p w:rsidR="00ED2A81" w:rsidRPr="00246582" w:rsidRDefault="00ED2A81" w:rsidP="00DC2A25">
            <w:pPr>
              <w:jc w:val="center"/>
              <w:rPr>
                <w:rFonts w:ascii="Arial" w:hAnsi="Arial" w:cs="Arial"/>
                <w:b/>
                <w:bCs/>
                <w:color w:val="000000"/>
                <w:sz w:val="20"/>
                <w:szCs w:val="20"/>
              </w:rPr>
            </w:pPr>
            <w:r w:rsidRPr="00246582">
              <w:rPr>
                <w:rFonts w:ascii="Arial" w:hAnsi="Arial" w:cs="Arial"/>
                <w:b/>
                <w:bCs/>
                <w:color w:val="000000"/>
                <w:sz w:val="20"/>
                <w:szCs w:val="20"/>
              </w:rPr>
              <w:t>Fecha máxima de reporte</w:t>
            </w:r>
          </w:p>
        </w:tc>
      </w:tr>
      <w:tr w:rsidR="008D1392" w:rsidRPr="00246582" w:rsidTr="008D1392">
        <w:trPr>
          <w:trHeight w:val="618"/>
        </w:trPr>
        <w:tc>
          <w:tcPr>
            <w:tcW w:w="2405" w:type="dxa"/>
            <w:vMerge w:val="restart"/>
            <w:vAlign w:val="center"/>
            <w:hideMark/>
          </w:tcPr>
          <w:p w:rsidR="008D1392" w:rsidRPr="00246582" w:rsidRDefault="008D1392" w:rsidP="008D1392">
            <w:pPr>
              <w:jc w:val="center"/>
              <w:rPr>
                <w:rFonts w:ascii="Arial" w:hAnsi="Arial" w:cs="Arial"/>
                <w:b/>
                <w:bCs/>
                <w:color w:val="000000"/>
                <w:sz w:val="20"/>
                <w:szCs w:val="20"/>
              </w:rPr>
            </w:pPr>
            <w:r>
              <w:rPr>
                <w:rFonts w:ascii="Arial" w:eastAsia="Arial" w:hAnsi="Arial" w:cs="Arial"/>
                <w:sz w:val="20"/>
                <w:szCs w:val="20"/>
              </w:rPr>
              <w:t>Aplicativo de reporte de información tarifaria – SURICATA Aseo</w:t>
            </w:r>
          </w:p>
        </w:tc>
        <w:tc>
          <w:tcPr>
            <w:tcW w:w="2506" w:type="dxa"/>
            <w:vMerge w:val="restart"/>
            <w:vAlign w:val="center"/>
            <w:hideMark/>
          </w:tcPr>
          <w:p w:rsidR="008D1392" w:rsidRPr="00246582" w:rsidRDefault="008D1392" w:rsidP="008D1392">
            <w:pPr>
              <w:jc w:val="center"/>
              <w:rPr>
                <w:rFonts w:ascii="Arial" w:hAnsi="Arial" w:cs="Arial"/>
                <w:b/>
                <w:bCs/>
                <w:color w:val="000000"/>
                <w:sz w:val="20"/>
                <w:szCs w:val="20"/>
              </w:rPr>
            </w:pPr>
            <w:r>
              <w:rPr>
                <w:rFonts w:ascii="Arial" w:eastAsia="Arial" w:hAnsi="Arial" w:cs="Arial"/>
                <w:sz w:val="20"/>
                <w:szCs w:val="20"/>
              </w:rPr>
              <w:t>Anual</w:t>
            </w:r>
          </w:p>
        </w:tc>
        <w:tc>
          <w:tcPr>
            <w:tcW w:w="4481" w:type="dxa"/>
            <w:gridSpan w:val="2"/>
            <w:shd w:val="clear" w:color="auto" w:fill="auto"/>
            <w:tcMar>
              <w:top w:w="15" w:type="dxa"/>
              <w:left w:w="15" w:type="dxa"/>
              <w:bottom w:w="0" w:type="dxa"/>
              <w:right w:w="15" w:type="dxa"/>
            </w:tcMar>
            <w:vAlign w:val="center"/>
            <w:hideMark/>
          </w:tcPr>
          <w:p w:rsidR="008D1392" w:rsidRPr="00246582" w:rsidRDefault="008D1392" w:rsidP="00DC2A25">
            <w:pPr>
              <w:jc w:val="center"/>
              <w:rPr>
                <w:rFonts w:ascii="Arial" w:eastAsia="Arial" w:hAnsi="Arial" w:cs="Arial"/>
                <w:b/>
                <w:sz w:val="20"/>
                <w:szCs w:val="20"/>
              </w:rPr>
            </w:pPr>
          </w:p>
          <w:p w:rsidR="008D1392" w:rsidRPr="00246582" w:rsidRDefault="008D1392" w:rsidP="00DC2A25">
            <w:pPr>
              <w:jc w:val="center"/>
              <w:rPr>
                <w:rFonts w:ascii="Arial" w:eastAsia="Arial" w:hAnsi="Arial" w:cs="Arial"/>
                <w:b/>
                <w:sz w:val="20"/>
                <w:szCs w:val="20"/>
              </w:rPr>
            </w:pPr>
            <w:r w:rsidRPr="00246582">
              <w:rPr>
                <w:rFonts w:ascii="Arial" w:eastAsia="Arial" w:hAnsi="Arial" w:cs="Arial"/>
                <w:b/>
                <w:sz w:val="20"/>
                <w:szCs w:val="20"/>
              </w:rPr>
              <w:t>Reporte de información retroactiva:</w:t>
            </w:r>
          </w:p>
          <w:p w:rsidR="008D1392" w:rsidRPr="00246582" w:rsidRDefault="008D1392" w:rsidP="00DC2A25">
            <w:pPr>
              <w:jc w:val="center"/>
              <w:rPr>
                <w:rFonts w:ascii="Arial" w:hAnsi="Arial" w:cs="Arial"/>
                <w:b/>
                <w:bCs/>
                <w:color w:val="000000"/>
                <w:sz w:val="20"/>
                <w:szCs w:val="20"/>
              </w:rPr>
            </w:pP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bookmarkStart w:id="2" w:name="_GoBack" w:colFirst="2" w:colLast="3"/>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2024</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Pr>
                <w:rFonts w:ascii="Arial" w:hAnsi="Arial" w:cs="Arial"/>
                <w:sz w:val="20"/>
                <w:szCs w:val="20"/>
              </w:rPr>
              <w:t>30</w:t>
            </w:r>
            <w:r w:rsidRPr="005933AD">
              <w:rPr>
                <w:rFonts w:ascii="Arial" w:hAnsi="Arial" w:cs="Arial"/>
                <w:sz w:val="20"/>
                <w:szCs w:val="20"/>
              </w:rPr>
              <w:t xml:space="preserve"> de </w:t>
            </w:r>
            <w:r>
              <w:rPr>
                <w:rFonts w:ascii="Arial" w:hAnsi="Arial" w:cs="Arial"/>
                <w:sz w:val="20"/>
                <w:szCs w:val="20"/>
              </w:rPr>
              <w:t>noviembre</w:t>
            </w:r>
            <w:r w:rsidRPr="005933AD">
              <w:rPr>
                <w:rFonts w:ascii="Arial" w:hAnsi="Arial" w:cs="Arial"/>
                <w:sz w:val="20"/>
                <w:szCs w:val="20"/>
              </w:rPr>
              <w:t xml:space="preserve"> del 2025</w:t>
            </w: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2023</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31 de diciembre del 2025</w:t>
            </w: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2022</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30 de enero del 2026</w:t>
            </w: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2021</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27 de febrero del 2026</w:t>
            </w: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2020</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31 de marzo del 2026</w:t>
            </w:r>
          </w:p>
        </w:tc>
      </w:tr>
      <w:tr w:rsidR="00021A42" w:rsidRPr="00246582" w:rsidTr="008D1392">
        <w:trPr>
          <w:trHeight w:val="393"/>
        </w:trPr>
        <w:tc>
          <w:tcPr>
            <w:tcW w:w="2405" w:type="dxa"/>
            <w:vMerge/>
            <w:vAlign w:val="center"/>
            <w:hideMark/>
          </w:tcPr>
          <w:p w:rsidR="00021A42" w:rsidRPr="00246582" w:rsidRDefault="00021A42" w:rsidP="00021A42">
            <w:pPr>
              <w:rPr>
                <w:rFonts w:ascii="Arial" w:hAnsi="Arial" w:cs="Arial"/>
                <w:b/>
                <w:bCs/>
                <w:color w:val="000000"/>
                <w:sz w:val="20"/>
                <w:szCs w:val="20"/>
              </w:rPr>
            </w:pPr>
          </w:p>
        </w:tc>
        <w:tc>
          <w:tcPr>
            <w:tcW w:w="2506" w:type="dxa"/>
            <w:vMerge/>
            <w:vAlign w:val="center"/>
            <w:hideMark/>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2019</w:t>
            </w:r>
          </w:p>
        </w:tc>
        <w:tc>
          <w:tcPr>
            <w:tcW w:w="2876" w:type="dxa"/>
            <w:shd w:val="clear" w:color="auto" w:fill="auto"/>
            <w:tcMar>
              <w:top w:w="15" w:type="dxa"/>
              <w:left w:w="15" w:type="dxa"/>
              <w:bottom w:w="0" w:type="dxa"/>
              <w:right w:w="15" w:type="dxa"/>
            </w:tcMar>
            <w:vAlign w:val="center"/>
            <w:hideMark/>
          </w:tcPr>
          <w:p w:rsidR="00021A42" w:rsidRPr="005933AD" w:rsidRDefault="00021A42" w:rsidP="00021A42">
            <w:pPr>
              <w:jc w:val="center"/>
              <w:rPr>
                <w:rFonts w:ascii="Arial" w:hAnsi="Arial" w:cs="Arial"/>
                <w:sz w:val="20"/>
                <w:szCs w:val="20"/>
              </w:rPr>
            </w:pPr>
            <w:r w:rsidRPr="005933AD">
              <w:rPr>
                <w:rFonts w:ascii="Arial" w:hAnsi="Arial" w:cs="Arial"/>
                <w:sz w:val="20"/>
                <w:szCs w:val="20"/>
              </w:rPr>
              <w:t>30 de abril del 2026</w:t>
            </w:r>
          </w:p>
        </w:tc>
      </w:tr>
      <w:tr w:rsidR="00021A42" w:rsidRPr="00246582" w:rsidTr="008D1392">
        <w:trPr>
          <w:trHeight w:val="393"/>
        </w:trPr>
        <w:tc>
          <w:tcPr>
            <w:tcW w:w="2405" w:type="dxa"/>
            <w:vMerge/>
            <w:vAlign w:val="center"/>
          </w:tcPr>
          <w:p w:rsidR="00021A42" w:rsidRPr="00246582" w:rsidRDefault="00021A42" w:rsidP="00021A42">
            <w:pPr>
              <w:rPr>
                <w:rFonts w:ascii="Arial" w:hAnsi="Arial" w:cs="Arial"/>
                <w:b/>
                <w:bCs/>
                <w:color w:val="000000"/>
                <w:sz w:val="20"/>
                <w:szCs w:val="20"/>
              </w:rPr>
            </w:pPr>
          </w:p>
        </w:tc>
        <w:tc>
          <w:tcPr>
            <w:tcW w:w="2506" w:type="dxa"/>
            <w:vMerge/>
            <w:vAlign w:val="center"/>
          </w:tcPr>
          <w:p w:rsidR="00021A42" w:rsidRPr="00246582" w:rsidRDefault="00021A42" w:rsidP="00021A42">
            <w:pPr>
              <w:rPr>
                <w:rFonts w:ascii="Arial" w:hAnsi="Arial" w:cs="Arial"/>
                <w:b/>
                <w:bCs/>
                <w:color w:val="000000"/>
                <w:sz w:val="20"/>
                <w:szCs w:val="20"/>
              </w:rPr>
            </w:pPr>
          </w:p>
        </w:tc>
        <w:tc>
          <w:tcPr>
            <w:tcW w:w="1605" w:type="dxa"/>
            <w:shd w:val="clear" w:color="auto" w:fill="auto"/>
            <w:tcMar>
              <w:top w:w="15" w:type="dxa"/>
              <w:left w:w="15" w:type="dxa"/>
              <w:bottom w:w="0" w:type="dxa"/>
              <w:right w:w="15" w:type="dxa"/>
            </w:tcMar>
            <w:vAlign w:val="center"/>
          </w:tcPr>
          <w:p w:rsidR="00021A42" w:rsidRPr="005933AD" w:rsidRDefault="00021A42" w:rsidP="00021A42">
            <w:pPr>
              <w:jc w:val="center"/>
              <w:rPr>
                <w:rFonts w:ascii="Arial" w:hAnsi="Arial" w:cs="Arial"/>
                <w:sz w:val="20"/>
                <w:szCs w:val="20"/>
              </w:rPr>
            </w:pPr>
            <w:r w:rsidRPr="005933AD">
              <w:rPr>
                <w:rFonts w:ascii="Arial" w:hAnsi="Arial" w:cs="Arial"/>
                <w:sz w:val="20"/>
                <w:szCs w:val="20"/>
              </w:rPr>
              <w:t>Año 2018</w:t>
            </w:r>
          </w:p>
        </w:tc>
        <w:tc>
          <w:tcPr>
            <w:tcW w:w="2876" w:type="dxa"/>
            <w:shd w:val="clear" w:color="auto" w:fill="auto"/>
            <w:tcMar>
              <w:top w:w="15" w:type="dxa"/>
              <w:left w:w="15" w:type="dxa"/>
              <w:bottom w:w="0" w:type="dxa"/>
              <w:right w:w="15" w:type="dxa"/>
            </w:tcMar>
            <w:vAlign w:val="center"/>
          </w:tcPr>
          <w:p w:rsidR="00021A42" w:rsidRPr="005933AD" w:rsidRDefault="00021A42" w:rsidP="00021A42">
            <w:pPr>
              <w:jc w:val="center"/>
              <w:rPr>
                <w:rFonts w:ascii="Arial" w:hAnsi="Arial" w:cs="Arial"/>
                <w:sz w:val="20"/>
                <w:szCs w:val="20"/>
              </w:rPr>
            </w:pPr>
            <w:r w:rsidRPr="005933AD">
              <w:rPr>
                <w:rFonts w:ascii="Arial" w:hAnsi="Arial" w:cs="Arial"/>
                <w:sz w:val="20"/>
                <w:szCs w:val="20"/>
              </w:rPr>
              <w:t xml:space="preserve">30 de </w:t>
            </w:r>
            <w:r>
              <w:rPr>
                <w:rFonts w:ascii="Arial" w:hAnsi="Arial" w:cs="Arial"/>
                <w:sz w:val="20"/>
                <w:szCs w:val="20"/>
              </w:rPr>
              <w:t>mayo</w:t>
            </w:r>
            <w:r w:rsidRPr="005933AD">
              <w:rPr>
                <w:rFonts w:ascii="Arial" w:hAnsi="Arial" w:cs="Arial"/>
                <w:sz w:val="20"/>
                <w:szCs w:val="20"/>
              </w:rPr>
              <w:t xml:space="preserve"> del 2026</w:t>
            </w:r>
          </w:p>
        </w:tc>
      </w:tr>
      <w:bookmarkEnd w:id="2"/>
      <w:tr w:rsidR="008D1392" w:rsidRPr="00246582" w:rsidTr="008D1392">
        <w:trPr>
          <w:trHeight w:val="1093"/>
        </w:trPr>
        <w:tc>
          <w:tcPr>
            <w:tcW w:w="2405" w:type="dxa"/>
            <w:vMerge/>
            <w:vAlign w:val="center"/>
            <w:hideMark/>
          </w:tcPr>
          <w:p w:rsidR="008D1392" w:rsidRPr="00246582" w:rsidRDefault="008D1392" w:rsidP="00DC2A25">
            <w:pPr>
              <w:rPr>
                <w:rFonts w:ascii="Arial" w:hAnsi="Arial" w:cs="Arial"/>
                <w:b/>
                <w:bCs/>
                <w:color w:val="000000"/>
                <w:sz w:val="20"/>
                <w:szCs w:val="20"/>
              </w:rPr>
            </w:pPr>
          </w:p>
        </w:tc>
        <w:tc>
          <w:tcPr>
            <w:tcW w:w="2506" w:type="dxa"/>
            <w:vMerge/>
            <w:vAlign w:val="center"/>
            <w:hideMark/>
          </w:tcPr>
          <w:p w:rsidR="008D1392" w:rsidRPr="00246582" w:rsidRDefault="008D1392" w:rsidP="00DC2A25">
            <w:pPr>
              <w:rPr>
                <w:rFonts w:ascii="Arial" w:hAnsi="Arial" w:cs="Arial"/>
                <w:b/>
                <w:bCs/>
                <w:color w:val="000000"/>
                <w:sz w:val="20"/>
                <w:szCs w:val="20"/>
              </w:rPr>
            </w:pPr>
          </w:p>
        </w:tc>
        <w:tc>
          <w:tcPr>
            <w:tcW w:w="4481" w:type="dxa"/>
            <w:gridSpan w:val="2"/>
            <w:shd w:val="clear" w:color="auto" w:fill="auto"/>
            <w:tcMar>
              <w:top w:w="15" w:type="dxa"/>
              <w:left w:w="15" w:type="dxa"/>
              <w:bottom w:w="0" w:type="dxa"/>
              <w:right w:w="15" w:type="dxa"/>
            </w:tcMar>
            <w:vAlign w:val="center"/>
            <w:hideMark/>
          </w:tcPr>
          <w:p w:rsidR="008D1392" w:rsidRDefault="008D1392" w:rsidP="00DC2A25">
            <w:pPr>
              <w:jc w:val="center"/>
              <w:rPr>
                <w:rFonts w:ascii="Arial" w:hAnsi="Arial" w:cs="Arial"/>
                <w:b/>
                <w:bCs/>
                <w:color w:val="000000"/>
                <w:sz w:val="20"/>
                <w:szCs w:val="20"/>
              </w:rPr>
            </w:pPr>
          </w:p>
          <w:p w:rsidR="008D1392" w:rsidRDefault="008D1392" w:rsidP="00DC2A25">
            <w:pPr>
              <w:jc w:val="center"/>
              <w:rPr>
                <w:rFonts w:ascii="Arial" w:hAnsi="Arial" w:cs="Arial"/>
                <w:b/>
                <w:bCs/>
                <w:color w:val="000000"/>
                <w:sz w:val="20"/>
                <w:szCs w:val="20"/>
              </w:rPr>
            </w:pPr>
            <w:r w:rsidRPr="00246582">
              <w:rPr>
                <w:rFonts w:ascii="Arial" w:hAnsi="Arial" w:cs="Arial"/>
                <w:b/>
                <w:bCs/>
                <w:color w:val="000000"/>
                <w:sz w:val="20"/>
                <w:szCs w:val="20"/>
              </w:rPr>
              <w:t>Reportes de la vigencia 2025 y siguientes</w:t>
            </w:r>
            <w:r>
              <w:rPr>
                <w:rFonts w:ascii="Arial" w:hAnsi="Arial" w:cs="Arial"/>
                <w:b/>
                <w:bCs/>
                <w:color w:val="000000"/>
                <w:sz w:val="20"/>
                <w:szCs w:val="20"/>
              </w:rPr>
              <w:t>:</w:t>
            </w:r>
          </w:p>
          <w:p w:rsidR="008D1392" w:rsidRPr="00246582" w:rsidRDefault="008D1392" w:rsidP="00DC2A25">
            <w:pPr>
              <w:jc w:val="center"/>
              <w:rPr>
                <w:rFonts w:ascii="Arial" w:hAnsi="Arial" w:cs="Arial"/>
                <w:b/>
                <w:bCs/>
                <w:color w:val="000000"/>
                <w:sz w:val="20"/>
                <w:szCs w:val="20"/>
              </w:rPr>
            </w:pPr>
          </w:p>
          <w:p w:rsidR="008D1392" w:rsidRPr="00246582" w:rsidRDefault="008D1392" w:rsidP="00DC2A25">
            <w:pPr>
              <w:jc w:val="center"/>
              <w:rPr>
                <w:rFonts w:ascii="Arial" w:hAnsi="Arial" w:cs="Arial"/>
                <w:b/>
                <w:bCs/>
                <w:color w:val="000000"/>
                <w:sz w:val="20"/>
                <w:szCs w:val="20"/>
              </w:rPr>
            </w:pPr>
            <w:r w:rsidRPr="00246582">
              <w:rPr>
                <w:rFonts w:ascii="Arial" w:hAnsi="Arial" w:cs="Arial"/>
                <w:color w:val="000000"/>
                <w:sz w:val="20"/>
                <w:szCs w:val="20"/>
              </w:rPr>
              <w:t>15 de septiembre del año siguiente al de la vigencia a reportar</w:t>
            </w:r>
            <w:r>
              <w:rPr>
                <w:rFonts w:ascii="Arial" w:hAnsi="Arial" w:cs="Arial"/>
                <w:color w:val="000000"/>
                <w:sz w:val="20"/>
                <w:szCs w:val="20"/>
              </w:rPr>
              <w:t xml:space="preserve"> </w:t>
            </w:r>
          </w:p>
          <w:p w:rsidR="008D1392" w:rsidRPr="00246582" w:rsidRDefault="008D1392" w:rsidP="00DC2A25">
            <w:pPr>
              <w:jc w:val="center"/>
              <w:rPr>
                <w:rFonts w:ascii="Arial" w:hAnsi="Arial" w:cs="Arial"/>
                <w:b/>
                <w:bCs/>
                <w:color w:val="000000"/>
                <w:sz w:val="20"/>
                <w:szCs w:val="20"/>
              </w:rPr>
            </w:pPr>
          </w:p>
          <w:p w:rsidR="008D1392" w:rsidRPr="00246582" w:rsidRDefault="008D1392" w:rsidP="00DC2A25">
            <w:pPr>
              <w:jc w:val="center"/>
              <w:rPr>
                <w:rFonts w:ascii="Arial" w:hAnsi="Arial" w:cs="Arial"/>
                <w:b/>
                <w:bCs/>
                <w:color w:val="000000"/>
                <w:sz w:val="20"/>
                <w:szCs w:val="20"/>
              </w:rPr>
            </w:pPr>
          </w:p>
        </w:tc>
      </w:tr>
    </w:tbl>
    <w:p w:rsidR="005F7AC7" w:rsidRDefault="005F7AC7">
      <w:pPr>
        <w:rPr>
          <w:rFonts w:ascii="Arial" w:eastAsia="Arial" w:hAnsi="Arial" w:cs="Arial"/>
        </w:rPr>
      </w:pPr>
    </w:p>
    <w:p w:rsidR="005F7AC7" w:rsidRDefault="005F7AC7">
      <w:pPr>
        <w:rPr>
          <w:rFonts w:ascii="Arial" w:eastAsia="Arial" w:hAnsi="Arial" w:cs="Arial"/>
        </w:rPr>
      </w:pPr>
    </w:p>
    <w:p w:rsidR="005F7AC7" w:rsidRDefault="005F7AC7"/>
    <w:p w:rsidR="005F7AC7" w:rsidRDefault="005F7AC7"/>
    <w:p w:rsidR="005F7AC7" w:rsidRDefault="005F7AC7">
      <w:bookmarkStart w:id="3" w:name="_heading=h.7cq7g3kxhl34" w:colFirst="0" w:colLast="0"/>
      <w:bookmarkEnd w:id="3"/>
    </w:p>
    <w:p w:rsidR="005F7AC7" w:rsidRDefault="005F7AC7"/>
    <w:p w:rsidR="005F7AC7" w:rsidRDefault="005F7AC7"/>
    <w:sectPr w:rsidR="005F7AC7">
      <w:headerReference w:type="default" r:id="rId8"/>
      <w:footerReference w:type="default" r:id="rId9"/>
      <w:footerReference w:type="first" r:id="rId10"/>
      <w:pgSz w:w="12240" w:h="15840"/>
      <w:pgMar w:top="1134" w:right="1134" w:bottom="1418" w:left="1701" w:header="737" w:footer="79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01" w:rsidRDefault="00F40301">
      <w:r>
        <w:separator/>
      </w:r>
    </w:p>
  </w:endnote>
  <w:endnote w:type="continuationSeparator" w:id="0">
    <w:p w:rsidR="00F40301" w:rsidRDefault="00F4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C7" w:rsidRDefault="00E5295E">
    <w:pPr>
      <w:pStyle w:val="Ttulo3"/>
      <w:spacing w:before="0" w:after="0"/>
      <w:jc w:val="center"/>
      <w:rPr>
        <w:b w:val="0"/>
        <w:sz w:val="18"/>
        <w:szCs w:val="18"/>
      </w:rPr>
    </w:pPr>
    <w:r>
      <w:rPr>
        <w:noProof/>
        <w:lang w:val="es-CO" w:eastAsia="es-CO"/>
      </w:rPr>
      <mc:AlternateContent>
        <mc:Choice Requires="wps">
          <w:drawing>
            <wp:anchor distT="0" distB="0" distL="0" distR="0" simplePos="0" relativeHeight="251658240" behindDoc="1" locked="0" layoutInCell="1" hidden="0" allowOverlap="1">
              <wp:simplePos x="0" y="0"/>
              <wp:positionH relativeFrom="column">
                <wp:posOffset>1066800</wp:posOffset>
              </wp:positionH>
              <wp:positionV relativeFrom="paragraph">
                <wp:posOffset>76200</wp:posOffset>
              </wp:positionV>
              <wp:extent cx="0" cy="12700"/>
              <wp:effectExtent l="0" t="0" r="0" b="0"/>
              <wp:wrapNone/>
              <wp:docPr id="5" name="Conector recto de flecha 5"/>
              <wp:cNvGraphicFramePr/>
              <a:graphic xmlns:a="http://schemas.openxmlformats.org/drawingml/2006/main">
                <a:graphicData uri="http://schemas.microsoft.com/office/word/2010/wordprocessingShape">
                  <wps:wsp>
                    <wps:cNvCnPr/>
                    <wps:spPr>
                      <a:xfrm>
                        <a:off x="3402900" y="3780000"/>
                        <a:ext cx="3886200" cy="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cx1="http://schemas.microsoft.com/office/drawing/2015/9/8/chartex">
          <w:drawing>
            <wp:anchor allowOverlap="1" behindDoc="1" distB="0" distT="0" distL="0" distR="0" hidden="0" layoutInCell="1" locked="0" relativeHeight="0" simplePos="0">
              <wp:simplePos x="0" y="0"/>
              <wp:positionH relativeFrom="column">
                <wp:posOffset>1066800</wp:posOffset>
              </wp:positionH>
              <wp:positionV relativeFrom="paragraph">
                <wp:posOffset>76200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5F7AC7" w:rsidRDefault="00E5295E">
    <w:pPr>
      <w:pStyle w:val="Ttulo3"/>
      <w:numPr>
        <w:ilvl w:val="0"/>
        <w:numId w:val="1"/>
      </w:numPr>
      <w:tabs>
        <w:tab w:val="left" w:pos="0"/>
      </w:tabs>
      <w:spacing w:before="0" w:after="0"/>
      <w:jc w:val="center"/>
    </w:pPr>
    <w:r>
      <w:rPr>
        <w:b w:val="0"/>
        <w:sz w:val="18"/>
        <w:szCs w:val="18"/>
      </w:rPr>
      <w:t>Superintendencia de Servicios Públicos Domiciliarios</w:t>
    </w:r>
  </w:p>
  <w:p w:rsidR="005F7AC7" w:rsidRDefault="00E5295E">
    <w:pPr>
      <w:pBdr>
        <w:top w:val="nil"/>
        <w:left w:val="nil"/>
        <w:bottom w:val="nil"/>
        <w:right w:val="nil"/>
        <w:between w:val="nil"/>
      </w:pBdr>
      <w:jc w:val="center"/>
      <w:rPr>
        <w:color w:val="000000"/>
      </w:rPr>
    </w:pPr>
    <w:r>
      <w:rPr>
        <w:rFonts w:ascii="Arial" w:eastAsia="Arial" w:hAnsi="Arial" w:cs="Arial"/>
        <w:color w:val="000000"/>
        <w:sz w:val="18"/>
        <w:szCs w:val="18"/>
      </w:rPr>
      <w:t>www.superservicios.gov.co   -  sspd@superservicios.gov.co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C7" w:rsidRDefault="00E5295E">
    <w:pPr>
      <w:pBdr>
        <w:top w:val="nil"/>
        <w:left w:val="nil"/>
        <w:bottom w:val="nil"/>
        <w:right w:val="nil"/>
        <w:between w:val="nil"/>
      </w:pBdr>
      <w:tabs>
        <w:tab w:val="center" w:pos="85"/>
      </w:tabs>
      <w:ind w:left="-454"/>
      <w:jc w:val="center"/>
      <w:rPr>
        <w:rFonts w:ascii="Arial" w:eastAsia="Arial" w:hAnsi="Arial" w:cs="Arial"/>
        <w:b/>
        <w:i/>
        <w:color w:val="000000"/>
        <w:sz w:val="14"/>
        <w:szCs w:val="14"/>
      </w:rPr>
    </w:pPr>
    <w:r>
      <w:rPr>
        <w:noProof/>
        <w:lang w:val="es-CO" w:eastAsia="es-CO"/>
      </w:rPr>
      <w:drawing>
        <wp:anchor distT="0" distB="0" distL="114300" distR="114300" simplePos="0" relativeHeight="251659264" behindDoc="0" locked="0" layoutInCell="1" hidden="0" allowOverlap="1">
          <wp:simplePos x="0" y="0"/>
          <wp:positionH relativeFrom="column">
            <wp:posOffset>-58487</wp:posOffset>
          </wp:positionH>
          <wp:positionV relativeFrom="paragraph">
            <wp:posOffset>34925</wp:posOffset>
          </wp:positionV>
          <wp:extent cx="6057900" cy="118581"/>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57900" cy="118581"/>
                  </a:xfrm>
                  <a:prstGeom prst="rect">
                    <a:avLst/>
                  </a:prstGeom>
                  <a:ln/>
                </pic:spPr>
              </pic:pic>
            </a:graphicData>
          </a:graphic>
        </wp:anchor>
      </w:drawing>
    </w:r>
  </w:p>
  <w:p w:rsidR="005F7AC7" w:rsidRDefault="00E5295E">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Este documento está suscrito con firma mecánica autorizada mediante Resolución No.20201000057965 de 14 de diciembre del 2020</w:t>
    </w:r>
  </w:p>
  <w:p w:rsidR="005F7AC7" w:rsidRDefault="005F7AC7">
    <w:pPr>
      <w:pBdr>
        <w:top w:val="nil"/>
        <w:left w:val="nil"/>
        <w:bottom w:val="nil"/>
        <w:right w:val="nil"/>
        <w:between w:val="nil"/>
      </w:pBdr>
      <w:tabs>
        <w:tab w:val="left" w:pos="3969"/>
      </w:tabs>
      <w:rPr>
        <w:rFonts w:ascii="Arial" w:eastAsia="Arial" w:hAnsi="Arial" w:cs="Arial"/>
        <w:color w:val="000000"/>
        <w:sz w:val="15"/>
        <w:szCs w:val="15"/>
      </w:rPr>
    </w:pPr>
  </w:p>
  <w:p w:rsidR="005F7AC7" w:rsidRDefault="00E5295E">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Sede principal.</w:t>
    </w:r>
    <w:r>
      <w:rPr>
        <w:rFonts w:ascii="Arial" w:eastAsia="Arial" w:hAnsi="Arial" w:cs="Arial"/>
        <w:color w:val="000000"/>
        <w:sz w:val="15"/>
        <w:szCs w:val="15"/>
      </w:rPr>
      <w:tab/>
      <w:t>Dirección Territoriales</w:t>
    </w:r>
  </w:p>
  <w:p w:rsidR="005F7AC7" w:rsidRDefault="00E5295E">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Bogotá D.C. Carrera 18 nro. 84-35</w:t>
    </w:r>
    <w:r>
      <w:rPr>
        <w:rFonts w:ascii="Arial" w:eastAsia="Arial" w:hAnsi="Arial" w:cs="Arial"/>
        <w:color w:val="000000"/>
        <w:sz w:val="15"/>
        <w:szCs w:val="15"/>
      </w:rPr>
      <w:tab/>
      <w:t xml:space="preserve">Diagonal 92 # 17A – 42, Edificio Brickell Center, piso 3. </w:t>
    </w:r>
  </w:p>
  <w:p w:rsidR="005F7AC7" w:rsidRDefault="00E5295E">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Código postal: 110221</w:t>
    </w:r>
    <w:r>
      <w:rPr>
        <w:rFonts w:ascii="Arial" w:eastAsia="Arial" w:hAnsi="Arial" w:cs="Arial"/>
        <w:color w:val="000000"/>
        <w:sz w:val="15"/>
        <w:szCs w:val="15"/>
      </w:rPr>
      <w:tab/>
      <w:t xml:space="preserve">Código postal: 110221 </w:t>
    </w:r>
  </w:p>
  <w:p w:rsidR="005F7AC7" w:rsidRDefault="00E5295E">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PBX 60 (1) 691 3005. Fax 60 (1) 691 3059</w:t>
    </w:r>
    <w:r>
      <w:rPr>
        <w:rFonts w:ascii="Arial" w:eastAsia="Arial" w:hAnsi="Arial" w:cs="Arial"/>
        <w:color w:val="000000"/>
        <w:sz w:val="15"/>
        <w:szCs w:val="15"/>
      </w:rPr>
      <w:tab/>
      <w:t>Barranquilla. Carrera 59 nro. 75 -134. Código postal: 080001</w:t>
    </w:r>
  </w:p>
  <w:p w:rsidR="005F7AC7" w:rsidRDefault="00E5295E">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sspd@superservicios.gov.co</w:t>
    </w:r>
    <w:r>
      <w:rPr>
        <w:rFonts w:ascii="Arial" w:eastAsia="Arial" w:hAnsi="Arial" w:cs="Arial"/>
        <w:color w:val="000000"/>
        <w:sz w:val="15"/>
        <w:szCs w:val="15"/>
      </w:rPr>
      <w:tab/>
      <w:t>Bucaramanga. Carrera 34 No. 54 – 92. Código postal: 680003</w:t>
    </w:r>
  </w:p>
  <w:p w:rsidR="005F7AC7" w:rsidRDefault="00E5295E">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Línea de atención 60 (1) 691 3006 Bogotá. </w:t>
    </w:r>
    <w:r>
      <w:rPr>
        <w:rFonts w:ascii="Arial" w:eastAsia="Arial" w:hAnsi="Arial" w:cs="Arial"/>
        <w:color w:val="000000"/>
        <w:sz w:val="15"/>
        <w:szCs w:val="15"/>
      </w:rPr>
      <w:tab/>
      <w:t>Cali. Calle 26 Norte nro. 6 Bis – 19. Código postal: 760046</w:t>
    </w:r>
  </w:p>
  <w:p w:rsidR="005F7AC7" w:rsidRDefault="00E5295E">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Línea gratuita nacional 01 8000 91 03 05 </w:t>
    </w:r>
    <w:r>
      <w:rPr>
        <w:rFonts w:ascii="Arial" w:eastAsia="Arial" w:hAnsi="Arial" w:cs="Arial"/>
        <w:color w:val="000000"/>
        <w:sz w:val="15"/>
        <w:szCs w:val="15"/>
      </w:rPr>
      <w:tab/>
      <w:t xml:space="preserve">Medellín. Avenida calle 33 nro. 74 B – 253. Código postal: 050031 </w:t>
    </w:r>
  </w:p>
  <w:p w:rsidR="005F7AC7" w:rsidRDefault="00E5295E">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NIT: 800.250.984.6 </w:t>
    </w:r>
    <w:r>
      <w:rPr>
        <w:rFonts w:ascii="Arial" w:eastAsia="Arial" w:hAnsi="Arial" w:cs="Arial"/>
        <w:color w:val="000000"/>
        <w:sz w:val="15"/>
        <w:szCs w:val="15"/>
      </w:rPr>
      <w:tab/>
      <w:t>Montería. Carrera 7 nro. 43-25. Código postal: 050031</w:t>
    </w:r>
  </w:p>
  <w:p w:rsidR="005F7AC7" w:rsidRDefault="00E5295E">
    <w:pPr>
      <w:tabs>
        <w:tab w:val="left" w:pos="3969"/>
      </w:tabs>
      <w:rPr>
        <w:rFonts w:ascii="Arial" w:eastAsia="Arial" w:hAnsi="Arial" w:cs="Arial"/>
        <w:sz w:val="15"/>
        <w:szCs w:val="15"/>
      </w:rPr>
    </w:pPr>
    <w:r>
      <w:rPr>
        <w:rFonts w:ascii="Arial" w:eastAsia="Arial" w:hAnsi="Arial" w:cs="Arial"/>
        <w:sz w:val="15"/>
        <w:szCs w:val="15"/>
      </w:rPr>
      <w:t xml:space="preserve">www.superservicios.gov.co </w:t>
    </w:r>
    <w:r>
      <w:rPr>
        <w:rFonts w:ascii="Arial" w:eastAsia="Arial" w:hAnsi="Arial" w:cs="Arial"/>
        <w:sz w:val="15"/>
        <w:szCs w:val="15"/>
      </w:rPr>
      <w:tab/>
      <w:t xml:space="preserve">Neiva. Calle 11 nro. 5 – 62. Código postal: </w:t>
    </w:r>
    <w:r>
      <w:rPr>
        <w:rFonts w:ascii="Roboto" w:eastAsia="Roboto" w:hAnsi="Roboto" w:cs="Roboto"/>
        <w:sz w:val="15"/>
        <w:szCs w:val="15"/>
      </w:rPr>
      <w:t>230001</w:t>
    </w:r>
    <w:r>
      <w:rPr>
        <w:rFonts w:ascii="Arial" w:eastAsia="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01" w:rsidRDefault="00F40301">
      <w:r>
        <w:separator/>
      </w:r>
    </w:p>
  </w:footnote>
  <w:footnote w:type="continuationSeparator" w:id="0">
    <w:p w:rsidR="00F40301" w:rsidRDefault="00F403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C7" w:rsidRDefault="005F7AC7">
    <w:pPr>
      <w:pBdr>
        <w:top w:val="nil"/>
        <w:left w:val="nil"/>
        <w:bottom w:val="nil"/>
        <w:right w:val="nil"/>
        <w:between w:val="nil"/>
      </w:pBdr>
      <w:rPr>
        <w:rFonts w:ascii="Arial" w:eastAsia="Arial" w:hAnsi="Arial" w:cs="Arial"/>
        <w:color w:val="000000"/>
        <w:sz w:val="20"/>
        <w:szCs w:val="20"/>
      </w:rPr>
    </w:pPr>
  </w:p>
  <w:p w:rsidR="005F7AC7" w:rsidRDefault="00E5295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RADS</w:t>
    </w:r>
  </w:p>
  <w:p w:rsidR="005F7AC7" w:rsidRDefault="00E5295E">
    <w:pPr>
      <w:pBdr>
        <w:top w:val="nil"/>
        <w:left w:val="nil"/>
        <w:bottom w:val="nil"/>
        <w:right w:val="nil"/>
        <w:between w:val="nil"/>
      </w:pBdr>
      <w:jc w:val="right"/>
      <w:rPr>
        <w:color w:val="000000"/>
        <w:sz w:val="20"/>
        <w:szCs w:val="20"/>
      </w:rPr>
    </w:pPr>
    <w:r>
      <w:rPr>
        <w:color w:val="000000"/>
        <w:sz w:val="20"/>
        <w:szCs w:val="20"/>
      </w:rPr>
      <w:t xml:space="preserve">Página </w:t>
    </w:r>
    <w:r>
      <w:rPr>
        <w:color w:val="000000"/>
        <w:sz w:val="20"/>
        <w:szCs w:val="20"/>
      </w:rPr>
      <w:fldChar w:fldCharType="begin"/>
    </w:r>
    <w:r>
      <w:rPr>
        <w:color w:val="000000"/>
        <w:sz w:val="20"/>
        <w:szCs w:val="20"/>
      </w:rPr>
      <w:instrText>PAGE</w:instrText>
    </w:r>
    <w:r>
      <w:rPr>
        <w:color w:val="000000"/>
        <w:sz w:val="20"/>
        <w:szCs w:val="20"/>
      </w:rPr>
      <w:fldChar w:fldCharType="separate"/>
    </w:r>
    <w:r w:rsidR="00A578A3">
      <w:rPr>
        <w:noProof/>
        <w:color w:val="000000"/>
        <w:sz w:val="20"/>
        <w:szCs w:val="20"/>
      </w:rPr>
      <w:t>5</w:t>
    </w:r>
    <w:r>
      <w:rPr>
        <w:color w:val="000000"/>
        <w:sz w:val="20"/>
        <w:szCs w:val="20"/>
      </w:rPr>
      <w:fldChar w:fldCharType="end"/>
    </w:r>
    <w:r>
      <w:rPr>
        <w:color w:val="000000"/>
        <w:sz w:val="20"/>
        <w:szCs w:val="20"/>
      </w:rPr>
      <w:t xml:space="preserve"> de </w:t>
    </w:r>
    <w:r>
      <w:rPr>
        <w:color w:val="000000"/>
        <w:sz w:val="20"/>
        <w:szCs w:val="20"/>
      </w:rPr>
      <w:fldChar w:fldCharType="begin"/>
    </w:r>
    <w:r>
      <w:rPr>
        <w:color w:val="000000"/>
        <w:sz w:val="20"/>
        <w:szCs w:val="20"/>
      </w:rPr>
      <w:instrText>NUMPAGES</w:instrText>
    </w:r>
    <w:r>
      <w:rPr>
        <w:color w:val="000000"/>
        <w:sz w:val="20"/>
        <w:szCs w:val="20"/>
      </w:rPr>
      <w:fldChar w:fldCharType="separate"/>
    </w:r>
    <w:r w:rsidR="00A578A3">
      <w:rPr>
        <w:noProof/>
        <w:color w:val="000000"/>
        <w:sz w:val="20"/>
        <w:szCs w:val="20"/>
      </w:rPr>
      <w:t>5</w:t>
    </w:r>
    <w:r>
      <w:rPr>
        <w:color w:val="000000"/>
        <w:sz w:val="20"/>
        <w:szCs w:val="20"/>
      </w:rPr>
      <w:fldChar w:fldCharType="end"/>
    </w:r>
  </w:p>
  <w:p w:rsidR="005F7AC7" w:rsidRDefault="005F7AC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D54DF"/>
    <w:multiLevelType w:val="multilevel"/>
    <w:tmpl w:val="7368D2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818B2"/>
    <w:multiLevelType w:val="multilevel"/>
    <w:tmpl w:val="2E7465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27E99"/>
    <w:multiLevelType w:val="multilevel"/>
    <w:tmpl w:val="0AAEF7DA"/>
    <w:lvl w:ilvl="0">
      <w:start w:val="1"/>
      <w:numFmt w:val="decimal"/>
      <w:lvlText w:val=""/>
      <w:lvlJc w:val="left"/>
      <w:pPr>
        <w:ind w:left="0" w:firstLine="0"/>
      </w:pPr>
    </w:lvl>
    <w:lvl w:ilvl="1">
      <w:start w:val="1"/>
      <w:numFmt w:val="decimal"/>
      <w:lvlText w:val=""/>
      <w:lvlJc w:val="left"/>
      <w:pPr>
        <w:ind w:left="0" w:firstLine="0"/>
      </w:pPr>
    </w:lvl>
    <w:lvl w:ilvl="2">
      <w:start w:val="1"/>
      <w:numFmt w:val="decimal"/>
      <w:pStyle w:val="Ttulo3"/>
      <w:lvlText w:val=""/>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D3B0B6E"/>
    <w:multiLevelType w:val="multilevel"/>
    <w:tmpl w:val="4EBC067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EBB1530"/>
    <w:multiLevelType w:val="multilevel"/>
    <w:tmpl w:val="24506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C7"/>
    <w:rsid w:val="00021A42"/>
    <w:rsid w:val="00040592"/>
    <w:rsid w:val="00246582"/>
    <w:rsid w:val="005F7AC7"/>
    <w:rsid w:val="00826845"/>
    <w:rsid w:val="008D1392"/>
    <w:rsid w:val="00A578A3"/>
    <w:rsid w:val="00E5295E"/>
    <w:rsid w:val="00ED2A81"/>
    <w:rsid w:val="00F17513"/>
    <w:rsid w:val="00F403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BFD66-5EA1-4FA6-8653-9F37BB84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C8C"/>
    <w:pPr>
      <w:suppressAutoHyphens/>
    </w:pPr>
    <w:rPr>
      <w:lang w:val="es-ES" w:eastAsia="zh-CN"/>
    </w:rPr>
  </w:style>
  <w:style w:type="paragraph" w:styleId="Ttulo1">
    <w:name w:val="heading 1"/>
    <w:basedOn w:val="Normal"/>
    <w:next w:val="Normal"/>
    <w:link w:val="Ttulo1Car"/>
    <w:uiPriority w:val="9"/>
    <w:qFormat/>
    <w:rsid w:val="00284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33C8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D33C8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semiHidden/>
    <w:rsid w:val="00D33C8C"/>
    <w:rPr>
      <w:rFonts w:ascii="Calibri Light" w:eastAsia="Times New Roman" w:hAnsi="Calibri Light" w:cs="Times New Roman"/>
      <w:b/>
      <w:bCs/>
      <w:i/>
      <w:iCs/>
      <w:sz w:val="28"/>
      <w:szCs w:val="28"/>
      <w:lang w:val="es-ES" w:eastAsia="zh-CN"/>
    </w:rPr>
  </w:style>
  <w:style w:type="character" w:customStyle="1" w:styleId="Ttulo3Car">
    <w:name w:val="Título 3 Car"/>
    <w:basedOn w:val="Fuentedeprrafopredeter"/>
    <w:link w:val="Ttulo3"/>
    <w:rsid w:val="00D33C8C"/>
    <w:rPr>
      <w:rFonts w:ascii="Arial" w:eastAsia="Times New Roman" w:hAnsi="Arial" w:cs="Arial"/>
      <w:b/>
      <w:bCs/>
      <w:sz w:val="26"/>
      <w:szCs w:val="26"/>
      <w:lang w:val="es-ES" w:eastAsia="zh-CN"/>
    </w:rPr>
  </w:style>
  <w:style w:type="character" w:styleId="Nmerodepgina">
    <w:name w:val="page number"/>
    <w:basedOn w:val="Fuentedeprrafopredeter"/>
    <w:rsid w:val="00D33C8C"/>
  </w:style>
  <w:style w:type="paragraph" w:styleId="Encabezado">
    <w:name w:val="header"/>
    <w:basedOn w:val="Normal"/>
    <w:link w:val="EncabezadoCar"/>
    <w:rsid w:val="00D33C8C"/>
  </w:style>
  <w:style w:type="character" w:customStyle="1" w:styleId="EncabezadoCar">
    <w:name w:val="Encabezado Car"/>
    <w:basedOn w:val="Fuentedeprrafopredeter"/>
    <w:link w:val="Encabezado"/>
    <w:rsid w:val="00D33C8C"/>
    <w:rPr>
      <w:rFonts w:ascii="Times New Roman" w:eastAsia="Times New Roman" w:hAnsi="Times New Roman" w:cs="Times New Roman"/>
      <w:sz w:val="24"/>
      <w:szCs w:val="24"/>
      <w:lang w:val="es-ES" w:eastAsia="zh-CN"/>
    </w:rPr>
  </w:style>
  <w:style w:type="paragraph" w:styleId="Piedepgina">
    <w:name w:val="footer"/>
    <w:basedOn w:val="Normal"/>
    <w:link w:val="PiedepginaCar"/>
    <w:rsid w:val="00D33C8C"/>
  </w:style>
  <w:style w:type="character" w:customStyle="1" w:styleId="PiedepginaCar">
    <w:name w:val="Pie de página Car"/>
    <w:basedOn w:val="Fuentedeprrafopredeter"/>
    <w:link w:val="Piedepgina"/>
    <w:rsid w:val="00D33C8C"/>
    <w:rPr>
      <w:rFonts w:ascii="Times New Roman" w:eastAsia="Times New Roman" w:hAnsi="Times New Roman" w:cs="Times New Roman"/>
      <w:sz w:val="24"/>
      <w:szCs w:val="24"/>
      <w:lang w:val="es-ES" w:eastAsia="zh-CN"/>
    </w:rPr>
  </w:style>
  <w:style w:type="character" w:customStyle="1" w:styleId="PrrafodelistaCar">
    <w:name w:val="Párrafo de lista Car"/>
    <w:link w:val="Prrafodelista"/>
    <w:qFormat/>
    <w:locked/>
    <w:rsid w:val="00D33C8C"/>
    <w:rPr>
      <w:rFonts w:ascii="Arial" w:hAnsi="Arial" w:cs="Arial"/>
      <w:szCs w:val="24"/>
      <w:lang w:val="es-ES" w:eastAsia="zh-CN"/>
    </w:rPr>
  </w:style>
  <w:style w:type="paragraph" w:styleId="Prrafodelista">
    <w:name w:val="List Paragraph"/>
    <w:basedOn w:val="Normal"/>
    <w:link w:val="PrrafodelistaCar"/>
    <w:qFormat/>
    <w:rsid w:val="00D33C8C"/>
    <w:pPr>
      <w:ind w:left="720"/>
      <w:contextualSpacing/>
    </w:pPr>
    <w:rPr>
      <w:rFonts w:ascii="Arial" w:eastAsiaTheme="minorHAnsi" w:hAnsi="Arial" w:cs="Arial"/>
      <w:sz w:val="22"/>
    </w:rPr>
  </w:style>
  <w:style w:type="character" w:customStyle="1" w:styleId="Ttulo1Car">
    <w:name w:val="Título 1 Car"/>
    <w:basedOn w:val="Fuentedeprrafopredeter"/>
    <w:link w:val="Ttulo1"/>
    <w:uiPriority w:val="9"/>
    <w:rsid w:val="00284D6B"/>
    <w:rPr>
      <w:rFonts w:asciiTheme="majorHAnsi" w:eastAsiaTheme="majorEastAsia" w:hAnsiTheme="majorHAnsi" w:cstheme="majorBidi"/>
      <w:color w:val="2E74B5" w:themeColor="accent1" w:themeShade="BF"/>
      <w:sz w:val="32"/>
      <w:szCs w:val="32"/>
      <w:lang w:val="es-ES" w:eastAsia="zh-CN"/>
    </w:rPr>
  </w:style>
  <w:style w:type="paragraph" w:styleId="Textoindependiente">
    <w:name w:val="Body Text"/>
    <w:basedOn w:val="Normal"/>
    <w:link w:val="TextoindependienteCar"/>
    <w:rsid w:val="00284D6B"/>
    <w:pPr>
      <w:spacing w:after="120"/>
    </w:pPr>
  </w:style>
  <w:style w:type="character" w:customStyle="1" w:styleId="TextoindependienteCar">
    <w:name w:val="Texto independiente Car"/>
    <w:basedOn w:val="Fuentedeprrafopredeter"/>
    <w:link w:val="Textoindependiente"/>
    <w:rsid w:val="00284D6B"/>
    <w:rPr>
      <w:rFonts w:ascii="Times New Roman" w:eastAsia="Times New Roman" w:hAnsi="Times New Roman" w:cs="Times New Roman"/>
      <w:sz w:val="24"/>
      <w:szCs w:val="24"/>
      <w:lang w:val="es-ES" w:eastAsia="zh-CN"/>
    </w:rPr>
  </w:style>
  <w:style w:type="table" w:styleId="Tablaconcuadrcula">
    <w:name w:val="Table Grid"/>
    <w:basedOn w:val="Tablanormal"/>
    <w:uiPriority w:val="39"/>
    <w:rsid w:val="00284D6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15903"/>
    <w:rPr>
      <w:sz w:val="16"/>
      <w:szCs w:val="16"/>
    </w:rPr>
  </w:style>
  <w:style w:type="paragraph" w:styleId="Textocomentario">
    <w:name w:val="annotation text"/>
    <w:basedOn w:val="Normal"/>
    <w:link w:val="TextocomentarioCar"/>
    <w:uiPriority w:val="99"/>
    <w:unhideWhenUsed/>
    <w:rsid w:val="00815903"/>
    <w:rPr>
      <w:sz w:val="20"/>
      <w:szCs w:val="20"/>
    </w:rPr>
  </w:style>
  <w:style w:type="character" w:customStyle="1" w:styleId="TextocomentarioCar">
    <w:name w:val="Texto comentario Car"/>
    <w:basedOn w:val="Fuentedeprrafopredeter"/>
    <w:link w:val="Textocomentario"/>
    <w:uiPriority w:val="99"/>
    <w:rsid w:val="00815903"/>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815903"/>
    <w:rPr>
      <w:b/>
      <w:bCs/>
    </w:rPr>
  </w:style>
  <w:style w:type="character" w:customStyle="1" w:styleId="AsuntodelcomentarioCar">
    <w:name w:val="Asunto del comentario Car"/>
    <w:basedOn w:val="TextocomentarioCar"/>
    <w:link w:val="Asuntodelcomentario"/>
    <w:uiPriority w:val="99"/>
    <w:semiHidden/>
    <w:rsid w:val="00815903"/>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rsid w:val="006437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37D6"/>
    <w:rPr>
      <w:rFonts w:ascii="Segoe UI" w:eastAsia="Times New Roman" w:hAnsi="Segoe UI" w:cs="Segoe UI"/>
      <w:sz w:val="18"/>
      <w:szCs w:val="18"/>
      <w:lang w:val="es-ES" w:eastAsia="zh-C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66Ibyt+hanF5tZPmN/Fm3761Q==">CgMxLjAyDWgucTYxbm56YXpzYmgyDmgua3Zrdzlna21rbWxxMg5oLjdjcTdnM2t4aGwzNDgAciExajZFU19JZGNOMUw2R2lCSWQ3NG9ZdEFvY2czU2pEdDE=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9405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Aguilera Neira</dc:creator>
  <cp:lastModifiedBy>Eliana Marcela Sanchez Quintero</cp:lastModifiedBy>
  <cp:revision>2</cp:revision>
  <dcterms:created xsi:type="dcterms:W3CDTF">2025-08-21T14:35:00Z</dcterms:created>
  <dcterms:modified xsi:type="dcterms:W3CDTF">2025-08-21T14:35:00Z</dcterms:modified>
</cp:coreProperties>
</file>