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7EC9" w:rsidRDefault="00854AAC">
      <w:pPr>
        <w:spacing w:after="240"/>
      </w:pPr>
      <w:r>
        <w:t xml:space="preserve"> </w:t>
      </w:r>
    </w:p>
    <w:p w14:paraId="00000002" w14:textId="33B5A539" w:rsidR="003D7EC9" w:rsidRDefault="00854AAC">
      <w:pPr>
        <w:spacing w:before="240" w:after="240"/>
        <w:jc w:val="center"/>
        <w:rPr>
          <w:b/>
        </w:rPr>
      </w:pPr>
      <w:r>
        <w:rPr>
          <w:b/>
        </w:rPr>
        <w:t xml:space="preserve">INSTRUCTIVOS DE REPORTES DE INFORMACIÓN FINANCIERA </w:t>
      </w:r>
      <w:bookmarkStart w:id="0" w:name="_GoBack"/>
      <w:bookmarkEnd w:id="0"/>
    </w:p>
    <w:p w14:paraId="00000003" w14:textId="3247C0DC" w:rsidR="003D7EC9" w:rsidRDefault="00854AAC">
      <w:pPr>
        <w:spacing w:before="240" w:after="240"/>
        <w:jc w:val="both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 xml:space="preserve">FORMATO </w:t>
      </w:r>
      <w:r w:rsidR="00C87C71">
        <w:rPr>
          <w:b/>
          <w:u w:val="single"/>
        </w:rPr>
        <w:t>B</w:t>
      </w:r>
      <w:r>
        <w:rPr>
          <w:b/>
          <w:u w:val="single"/>
        </w:rPr>
        <w:t xml:space="preserve">: INFORMACIÓN FINANCIERA </w:t>
      </w:r>
      <w:r w:rsidR="00877B40" w:rsidRPr="0098618B">
        <w:rPr>
          <w:b/>
          <w:u w:val="single"/>
        </w:rPr>
        <w:t>(Periodicidad de reporte: mensual)</w:t>
      </w:r>
    </w:p>
    <w:p w14:paraId="00000004" w14:textId="3A05B540" w:rsidR="003D7EC9" w:rsidRDefault="00854AAC">
      <w:pPr>
        <w:spacing w:before="240" w:after="240"/>
        <w:jc w:val="both"/>
      </w:pPr>
      <w:r>
        <w:rPr>
          <w:b/>
        </w:rPr>
        <w:t xml:space="preserve">ACTIVO TOTAL: </w:t>
      </w:r>
      <w:r>
        <w:t>Total de recursos controlados por la entidad como resultado de sucesos pasados y de los cuales se espera obtener en el futuro beneficios económicos. Este valor corresponde al equivalente digitado en las Taxonomías XBRL, en el Formato 210000 - Estado de Situación Financiera, de acuerdo al grupo de clasificación, así: Grupo 1 - Total Activos y Grupos 2, 3 y 414 - Total de Activos.</w:t>
      </w:r>
      <w:r w:rsidR="005C03BF">
        <w:t xml:space="preserve"> (Corresponde a la información con corte al mes de reporte)</w:t>
      </w:r>
      <w:r w:rsidR="007042DE">
        <w:t>.</w:t>
      </w:r>
    </w:p>
    <w:p w14:paraId="00000005" w14:textId="0807323E" w:rsidR="003D7EC9" w:rsidRDefault="00854AAC">
      <w:pPr>
        <w:spacing w:before="240" w:after="240"/>
        <w:jc w:val="both"/>
      </w:pPr>
      <w:r>
        <w:rPr>
          <w:b/>
        </w:rPr>
        <w:t>ACTIVO CORRIENTE:</w:t>
      </w:r>
      <w:r>
        <w:t xml:space="preserve"> Activos que tienen la intención de: (a) venderlos o consumirlos en su ciclo normal de operación; (b) mantiene el activo principalmente con fines de negociación; (c) espera realizar el activo dentro de los doce meses siguientes después del periodo sobre el que se informa; o (d) el activo es efectivo o equivalente al efectivo (como se define en la NIC 7) a menos que éste se encuentre restringido y no pueda ser intercambiado ni utilizado para cancelar un pasivo por un ejercicio mínimo de doce meses. Este valor corresponde al equivalente digitado en las Taxonomías XBRL, en el Formato 210000 - Estado de Situación Financiera (Total de activos corrientes), de acuerdo al grupo de clasificación.</w:t>
      </w:r>
      <w:r w:rsidR="005C03BF">
        <w:t xml:space="preserve"> (Corresponde a la información con corte al mes de reporte)</w:t>
      </w:r>
      <w:r w:rsidR="007042DE">
        <w:t>.</w:t>
      </w:r>
    </w:p>
    <w:p w14:paraId="00000006" w14:textId="171F2DC5" w:rsidR="003D7EC9" w:rsidRDefault="00854AAC">
      <w:pPr>
        <w:spacing w:before="240" w:after="240"/>
        <w:jc w:val="both"/>
      </w:pPr>
      <w:r>
        <w:rPr>
          <w:b/>
        </w:rPr>
        <w:t>ACTIVO NO CORRIENTE:</w:t>
      </w:r>
      <w:r>
        <w:t xml:space="preserve"> Es aquel activo que sólo es susceptible de convertirse en efectivo en un periodo superior a un año, en el mediano o largo plazo. Este valor corresponde al equivalente digitado en las Taxonomías XBRL, en el Formato 210000 - Estado de Situación Financiera, de acuerdo al grupo de clasificación, así: Grupos 1, 2 y 414 - Total de activos no corrientes </w:t>
      </w:r>
      <w:r w:rsidR="0098618B">
        <w:t>y Grupo</w:t>
      </w:r>
      <w:r>
        <w:t xml:space="preserve"> 3 - </w:t>
      </w:r>
      <w:r>
        <w:rPr>
          <w:rFonts w:ascii="Calibri" w:eastAsia="Calibri" w:hAnsi="Calibri" w:cs="Calibri"/>
        </w:rPr>
        <w:t>Activos no corrientes totales</w:t>
      </w:r>
      <w:r>
        <w:t>.</w:t>
      </w:r>
      <w:r w:rsidR="005C03BF">
        <w:t xml:space="preserve"> (Corresponde a la información con corte al mes de reporte)</w:t>
      </w:r>
      <w:r w:rsidR="007042DE">
        <w:t>.</w:t>
      </w:r>
    </w:p>
    <w:p w14:paraId="00000007" w14:textId="222BAFB7" w:rsidR="003D7EC9" w:rsidRDefault="00854AAC">
      <w:pPr>
        <w:spacing w:before="240" w:after="240"/>
        <w:jc w:val="both"/>
      </w:pPr>
      <w:r>
        <w:rPr>
          <w:b/>
        </w:rPr>
        <w:t xml:space="preserve">PASIVO TOTAL: </w:t>
      </w:r>
      <w:r>
        <w:t>Obligaciones presentes de la entidad, surgidas a raíz de sucesos pasados, al vencimiento de la cual, y para cancelarla, la entidad espera desprenderse de recursos que incorporan beneficios económicos. Este valor corresponde al equivalente digitado en las Taxonomías XBRL, en el Formato 210000 - Estado de Situación Financiera, de acuerdo al grupo de clasificación, así: Grupo 1 y 414 - Total Pasivos y</w:t>
      </w:r>
      <w:r w:rsidR="005C03BF">
        <w:t xml:space="preserve"> Grupo 2 y 3 - Total de Pasivos. (Corresponde a la información con corte al mes de reporte)</w:t>
      </w:r>
      <w:r w:rsidR="007042DE">
        <w:t>.</w:t>
      </w:r>
    </w:p>
    <w:p w14:paraId="00000008" w14:textId="0100CE76" w:rsidR="003D7EC9" w:rsidRDefault="00854AAC">
      <w:pPr>
        <w:spacing w:before="240" w:after="240"/>
        <w:jc w:val="both"/>
      </w:pPr>
      <w:r>
        <w:rPr>
          <w:b/>
        </w:rPr>
        <w:t xml:space="preserve">PASIVO CORRIENTE: </w:t>
      </w:r>
      <w:r>
        <w:t xml:space="preserve">Obligaciones que se esperan liquidar en su ciclo normal de operación; (a) mantiene el pasivo principalmente con fines de negociación; (b) el pasivo debe liquidarse dentro de los doce meses siguientes; o (c) no tiene un derecho incondicional para aplazar la cancelación del pasivo durante, al menos, los doce meses siguientes a la fecha del periodo sobre el que se informa. Las condiciones de un pasivo que puedan dar lugar, a elección de la otra parte, a su liquidación mediante la emisión de instrumentos de patrimonio, no afectan a su clasificación. Este valor corresponde al equivalente digitado en las Taxonomías </w:t>
      </w:r>
      <w:r w:rsidR="0098618B">
        <w:t>XBRL, en</w:t>
      </w:r>
      <w:r>
        <w:t xml:space="preserve"> el Formato 210000 - Estado de Situación Financiera, de acuerdo al grupo de clasificación, así: Grupo 1, 3 y 414 - Pasivos corrientes totales y Grupo 2 - </w:t>
      </w:r>
      <w:r w:rsidR="005C03BF">
        <w:t>Total Pasivos</w:t>
      </w:r>
      <w:r>
        <w:t xml:space="preserve"> corrientes.</w:t>
      </w:r>
      <w:r w:rsidR="005C03BF">
        <w:t xml:space="preserve"> (Corresponde a la información con corte al mes de reporte)</w:t>
      </w:r>
      <w:r w:rsidR="007042DE">
        <w:t>.</w:t>
      </w:r>
    </w:p>
    <w:p w14:paraId="00000009" w14:textId="16FD2337" w:rsidR="003D7EC9" w:rsidRDefault="00854AAC">
      <w:pPr>
        <w:spacing w:before="240" w:after="240"/>
        <w:jc w:val="both"/>
      </w:pPr>
      <w:r>
        <w:rPr>
          <w:b/>
        </w:rPr>
        <w:lastRenderedPageBreak/>
        <w:t>PASIVO NO CORRIENTE:</w:t>
      </w:r>
      <w:r>
        <w:t xml:space="preserve"> Todas las obligaciones no consideradas como no corrientes. Este valor corresponde al equivalente digitado en las Taxonomías XBRL, en el Formato 210000 - Estado de Situación Financiera (Total de pasivos no corrientes), de acuerdo al grupo de clasificación.</w:t>
      </w:r>
      <w:r w:rsidR="005C03BF">
        <w:t xml:space="preserve"> (Corresponde a la información con corte al mes de reporte)</w:t>
      </w:r>
      <w:r w:rsidR="007042DE">
        <w:t>.</w:t>
      </w:r>
    </w:p>
    <w:p w14:paraId="0000000B" w14:textId="09D51DE8" w:rsidR="003D7EC9" w:rsidRPr="007C24D8" w:rsidRDefault="00854AAC">
      <w:pPr>
        <w:spacing w:before="240" w:after="240"/>
        <w:jc w:val="both"/>
      </w:pPr>
      <w:r>
        <w:rPr>
          <w:b/>
        </w:rPr>
        <w:t xml:space="preserve">CARTERA </w:t>
      </w:r>
      <w:r w:rsidR="007C24D8">
        <w:rPr>
          <w:b/>
        </w:rPr>
        <w:t>DE PRESTACIÓN DE SERVICIOS</w:t>
      </w:r>
      <w:r>
        <w:rPr>
          <w:b/>
        </w:rPr>
        <w:t xml:space="preserve"> PÚBLICO</w:t>
      </w:r>
      <w:r w:rsidR="007C24D8">
        <w:rPr>
          <w:b/>
        </w:rPr>
        <w:t>S</w:t>
      </w:r>
      <w:r>
        <w:rPr>
          <w:b/>
        </w:rPr>
        <w:t xml:space="preserve"> CORRIENTE</w:t>
      </w:r>
      <w:r w:rsidR="007C24D8">
        <w:rPr>
          <w:b/>
        </w:rPr>
        <w:t xml:space="preserve"> (Prestadores AAA): </w:t>
      </w:r>
      <w:r w:rsidR="007C24D8">
        <w:t xml:space="preserve">Valor de cuentas por cobrar por prestación de los servicios públicos de acueducto, alcantarillado y/o aseo, reconocidas únicamente durante el mes reportado, excluyendo valores de periodos anteriores.  </w:t>
      </w:r>
    </w:p>
    <w:p w14:paraId="0000000D" w14:textId="0FF88C1E" w:rsidR="003D7EC9" w:rsidRPr="007C24D8" w:rsidRDefault="00854AAC">
      <w:pPr>
        <w:spacing w:before="240" w:after="240"/>
        <w:jc w:val="both"/>
      </w:pPr>
      <w:r>
        <w:rPr>
          <w:b/>
        </w:rPr>
        <w:t>CARTERA DE</w:t>
      </w:r>
      <w:r w:rsidR="007C24D8">
        <w:rPr>
          <w:b/>
        </w:rPr>
        <w:t xml:space="preserve"> PRESTACIÓN DE</w:t>
      </w:r>
      <w:r>
        <w:rPr>
          <w:b/>
        </w:rPr>
        <w:t xml:space="preserve"> SERVICIO</w:t>
      </w:r>
      <w:r w:rsidR="007C24D8">
        <w:rPr>
          <w:b/>
        </w:rPr>
        <w:t>S</w:t>
      </w:r>
      <w:r>
        <w:rPr>
          <w:b/>
        </w:rPr>
        <w:t xml:space="preserve"> PÚBLICO</w:t>
      </w:r>
      <w:r w:rsidR="007C24D8">
        <w:rPr>
          <w:b/>
        </w:rPr>
        <w:t>S</w:t>
      </w:r>
      <w:r>
        <w:rPr>
          <w:b/>
        </w:rPr>
        <w:t xml:space="preserve"> (</w:t>
      </w:r>
      <w:r w:rsidR="007C24D8">
        <w:rPr>
          <w:b/>
        </w:rPr>
        <w:t xml:space="preserve">Prestadores </w:t>
      </w:r>
      <w:r>
        <w:rPr>
          <w:b/>
        </w:rPr>
        <w:t>AAA)</w:t>
      </w:r>
      <w:r w:rsidR="007C24D8">
        <w:rPr>
          <w:b/>
        </w:rPr>
        <w:t xml:space="preserve">: </w:t>
      </w:r>
      <w:r w:rsidR="007C24D8">
        <w:t>Valor total de cuentas por cobrar por prestación de los servicios públicos de acueducto, alcantarillado y/o aseo.</w:t>
      </w:r>
    </w:p>
    <w:p w14:paraId="0000000F" w14:textId="0F3C1F60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CARTERA DIFERIDA COMO CONSECUENCIA DE LA EMERGENCIA SANITARIA (</w:t>
      </w:r>
      <w:r w:rsidR="007C24D8">
        <w:rPr>
          <w:b/>
        </w:rPr>
        <w:t xml:space="preserve">Prestadores </w:t>
      </w:r>
      <w:r>
        <w:rPr>
          <w:b/>
        </w:rPr>
        <w:t>AAA)</w:t>
      </w:r>
      <w:r w:rsidR="007C24D8">
        <w:rPr>
          <w:b/>
        </w:rPr>
        <w:t xml:space="preserve">: </w:t>
      </w:r>
      <w:r w:rsidR="007C24D8">
        <w:t xml:space="preserve">Valor de las cuentas por cobrar por prestación de los servicios públicos de acueducto, alcantarillado y/o aseo, que fueron diferidas como consecuencia de la emergencia sanitaria. </w:t>
      </w:r>
      <w:r>
        <w:rPr>
          <w:b/>
        </w:rPr>
        <w:t xml:space="preserve"> </w:t>
      </w:r>
    </w:p>
    <w:p w14:paraId="00000011" w14:textId="07523D06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RECAUDO MENSUAL DE FACTURACIÓN (</w:t>
      </w:r>
      <w:r w:rsidR="007C24D8">
        <w:rPr>
          <w:b/>
        </w:rPr>
        <w:t xml:space="preserve">Prestadores </w:t>
      </w:r>
      <w:r>
        <w:rPr>
          <w:b/>
        </w:rPr>
        <w:t>AAA)</w:t>
      </w:r>
      <w:r w:rsidR="007C24D8">
        <w:rPr>
          <w:b/>
        </w:rPr>
        <w:t xml:space="preserve">: </w:t>
      </w:r>
      <w:r w:rsidR="007C24D8">
        <w:t xml:space="preserve">Valor recaudado por la empresa, </w:t>
      </w:r>
      <w:r w:rsidR="00290EA0">
        <w:t xml:space="preserve">por cobros facturados </w:t>
      </w:r>
      <w:r w:rsidR="007C24D8">
        <w:t xml:space="preserve">únicamente durante el periodo del mes de reporte, excluyendo </w:t>
      </w:r>
      <w:r w:rsidR="00290EA0">
        <w:t xml:space="preserve">el recaudo de facturación de periodos anteriores. </w:t>
      </w:r>
      <w:r>
        <w:rPr>
          <w:b/>
        </w:rPr>
        <w:t xml:space="preserve"> </w:t>
      </w:r>
    </w:p>
    <w:p w14:paraId="00000012" w14:textId="1B069305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CARTERA DE SUBSIDIOS: </w:t>
      </w:r>
      <w:r>
        <w:t>Corresponde al saldo de la cuenta por cobrar al Ministerio de Minas y Energía a municipios, gobernaciones,</w:t>
      </w:r>
      <w:r w:rsidR="002F3E59">
        <w:t xml:space="preserve"> </w:t>
      </w:r>
      <w:r>
        <w:t>por concepto de subsidios recibidos del Fondo de Solidaridad para Subsidios y Redistribución de Ingresos – FSSRI, subsidios de menores tarifas para los prestadores de ZNI, y otros subsidios asociados a la prestación de servicios públicos domiciliarios, con corte al periodo de reporte.</w:t>
      </w:r>
      <w:r w:rsidR="005C03BF">
        <w:t xml:space="preserve"> (Corresponde a la información con corte al mes de reporte)</w:t>
      </w:r>
    </w:p>
    <w:p w14:paraId="00000013" w14:textId="2E781883" w:rsidR="003D7EC9" w:rsidRDefault="00854AAC">
      <w:pPr>
        <w:spacing w:before="240" w:after="240"/>
        <w:jc w:val="both"/>
      </w:pPr>
      <w:r>
        <w:rPr>
          <w:b/>
        </w:rPr>
        <w:t xml:space="preserve">FACTURACIÓN USUARIOS: </w:t>
      </w:r>
      <w:r>
        <w:t>Corresponde al valor acumulado del ingreso neto facturado con corte al periodo de reporte, a los usuarios por la prestación del servicio público domiciliario en el periodo de entrega de información, este ingreso no debe incluir la parte que se le cobra al ministerio, municipios y gobernaciones por subsidios.</w:t>
      </w:r>
      <w:r w:rsidR="005C03BF">
        <w:t xml:space="preserve"> (Corresponde a la información con corte al mes de reporte)</w:t>
      </w:r>
    </w:p>
    <w:p w14:paraId="00000014" w14:textId="5637743E" w:rsidR="003D7EC9" w:rsidRDefault="00854AAC">
      <w:pPr>
        <w:spacing w:before="240" w:after="240"/>
        <w:jc w:val="both"/>
      </w:pPr>
      <w:r>
        <w:rPr>
          <w:b/>
        </w:rPr>
        <w:t xml:space="preserve">FACTURACIÓN SUBSIDIOS: </w:t>
      </w:r>
      <w:r>
        <w:t xml:space="preserve">Corresponde al valor acumulado del ingreso neto facturado con corte al periodo de </w:t>
      </w:r>
      <w:r w:rsidR="00E61971">
        <w:t>reporte, al</w:t>
      </w:r>
      <w:r>
        <w:t xml:space="preserve"> ministerio, municipios y gobernaciones por subsidios por la prestación del servicio público domiciliario el cual estas entidades lo consideran como subsidio de prestación de servicio público domiciliario.</w:t>
      </w:r>
      <w:r w:rsidR="005C03BF">
        <w:t xml:space="preserve"> (Corresponde a la información con corte al mes de reporte)</w:t>
      </w:r>
    </w:p>
    <w:p w14:paraId="00000015" w14:textId="6EA296E2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Nota: La sumatoria </w:t>
      </w:r>
      <w:r w:rsidR="00E61971">
        <w:rPr>
          <w:b/>
        </w:rPr>
        <w:t xml:space="preserve">de la facturación </w:t>
      </w:r>
      <w:r>
        <w:rPr>
          <w:b/>
        </w:rPr>
        <w:t xml:space="preserve">de usuarios </w:t>
      </w:r>
      <w:r w:rsidR="00E61971">
        <w:rPr>
          <w:b/>
        </w:rPr>
        <w:t>y facturación</w:t>
      </w:r>
      <w:r>
        <w:rPr>
          <w:b/>
        </w:rPr>
        <w:t xml:space="preserve"> de subsidio corresponde al total del costo unitario de prestación del servicio público domiciliario.</w:t>
      </w:r>
    </w:p>
    <w:p w14:paraId="36995BB7" w14:textId="1703EA21" w:rsidR="00290EA0" w:rsidRPr="00716870" w:rsidRDefault="00854AAC">
      <w:pPr>
        <w:spacing w:before="240" w:after="240"/>
        <w:jc w:val="both"/>
        <w:rPr>
          <w:b/>
          <w:lang w:val="es-CO"/>
        </w:rPr>
      </w:pPr>
      <w:r>
        <w:rPr>
          <w:b/>
        </w:rPr>
        <w:t>Nota: La finalidad de los conceptos CARTERA DE SUBSIDIOS, FACTURACIÓN USUARIOS y FACTURACIÓN SUBSIDIOS, es determinar los periodos de cobro pendientes, por medio del cálculo de rotación.</w:t>
      </w:r>
    </w:p>
    <w:p w14:paraId="00000017" w14:textId="0F9F92D1" w:rsidR="003D7EC9" w:rsidRDefault="00854AAC">
      <w:pPr>
        <w:spacing w:before="240" w:after="240"/>
        <w:jc w:val="both"/>
        <w:rPr>
          <w:b/>
        </w:rPr>
      </w:pPr>
      <w:r>
        <w:rPr>
          <w:b/>
        </w:rPr>
        <w:lastRenderedPageBreak/>
        <w:t xml:space="preserve">COSTO DE VENTA DEL SERVICIO: </w:t>
      </w:r>
      <w:r>
        <w:t xml:space="preserve">Costo en que se incurre para comercializar un bien, o para prestar un servicio; a su vez, es el valor en que se ha incurrido para generar o comprar un bien o servicio que se vende.  Este valor corresponde al digitado en el rubro </w:t>
      </w:r>
      <w:r>
        <w:rPr>
          <w:i/>
          <w:u w:val="single"/>
        </w:rPr>
        <w:t>Costo de Ventas</w:t>
      </w:r>
      <w:r>
        <w:t xml:space="preserve"> en el Formato 310000 y/o 320000 - Estado de Resultados Integral de las Taxonomías XBRL.</w:t>
      </w:r>
      <w:r>
        <w:rPr>
          <w:b/>
        </w:rPr>
        <w:t xml:space="preserve"> </w:t>
      </w:r>
      <w:r w:rsidR="005C03BF">
        <w:t>(Corresponde a la información acumulada al mes de reporte)</w:t>
      </w:r>
    </w:p>
    <w:p w14:paraId="00000018" w14:textId="4BBEE963" w:rsidR="003D7EC9" w:rsidRDefault="00854AAC">
      <w:pPr>
        <w:spacing w:before="240" w:after="240"/>
        <w:jc w:val="both"/>
      </w:pPr>
      <w:r>
        <w:rPr>
          <w:b/>
        </w:rPr>
        <w:t xml:space="preserve">CUENTAS POR PAGAR PROVEEDORES: </w:t>
      </w:r>
      <w:r>
        <w:t>Obligaciones causadas en la generación y/o comercialización de los servicios públicos domiciliarios.</w:t>
      </w:r>
      <w:r w:rsidR="005C03BF">
        <w:t xml:space="preserve"> (Corresponde a la información acumulada al mes de reporte)</w:t>
      </w:r>
    </w:p>
    <w:p w14:paraId="00000019" w14:textId="77777777" w:rsidR="003D7EC9" w:rsidRDefault="00854AAC">
      <w:pPr>
        <w:spacing w:before="240" w:after="240"/>
        <w:jc w:val="both"/>
      </w:pPr>
      <w:r>
        <w:rPr>
          <w:b/>
        </w:rPr>
        <w:t>Nota: La finalidad de los conceptos COSTO DE VENTA DEL SERVICIO y CUENTAS POR PAGAR PROVEEDORES, es determinar los periodos de pago pendientes, por medio del cálculo de rotación.</w:t>
      </w:r>
    </w:p>
    <w:p w14:paraId="0000001A" w14:textId="673AECF9" w:rsidR="003D7EC9" w:rsidRDefault="00854AAC">
      <w:pPr>
        <w:spacing w:before="240" w:after="240"/>
        <w:jc w:val="both"/>
      </w:pPr>
      <w:r>
        <w:rPr>
          <w:b/>
        </w:rPr>
        <w:t xml:space="preserve">COSTOS Y GASTOS DE NÓMINA: </w:t>
      </w:r>
      <w:r>
        <w:t>Costos y gastos asociados a los beneficios de empleados, específicamente en lo correspondiente a: salarios, auxilio de transporte, bonificaciones</w:t>
      </w:r>
      <w:r w:rsidR="00F05ECC">
        <w:t>, gastos asociado</w:t>
      </w:r>
      <w:r w:rsidR="002F3E59">
        <w:t>s</w:t>
      </w:r>
      <w:r w:rsidR="00F05ECC">
        <w:t xml:space="preserve"> a convenciones sindicales</w:t>
      </w:r>
      <w:r>
        <w:t xml:space="preserve"> y otros devengos de nómina diferentes a los mencionados en los</w:t>
      </w:r>
      <w:r w:rsidR="005C03BF">
        <w:t xml:space="preserve"> conceptos de seguridad social. (Corresponde a la información acumulada al mes de reporte)</w:t>
      </w:r>
    </w:p>
    <w:p w14:paraId="0000001B" w14:textId="12BD9BF4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CUENTAS POR PAGAR DE NÓMINA:</w:t>
      </w:r>
      <w:r>
        <w:t xml:space="preserve"> Obligaciones pendientes de pago relacionadas con: salarios, auxilio de transporte, bonificaciones y otros devengos de nómina; esto corresponde al valor pendiente de pago del ítem anterior</w:t>
      </w:r>
      <w:r w:rsidR="005C03BF">
        <w:t xml:space="preserve"> </w:t>
      </w:r>
      <w:r>
        <w:t>(</w:t>
      </w:r>
      <w:r>
        <w:rPr>
          <w:b/>
        </w:rPr>
        <w:t xml:space="preserve">COSTOS Y GASTOS DE NÓMINA). </w:t>
      </w:r>
      <w:r w:rsidR="005C03BF">
        <w:t>(Corresponde a la información acumulada al mes de reporte).</w:t>
      </w:r>
    </w:p>
    <w:p w14:paraId="0000001C" w14:textId="069765BB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Nota: La finalidad de los conceptos COSTOS Y GASTOS DE NÓMINA </w:t>
      </w:r>
      <w:r w:rsidR="0098618B">
        <w:rPr>
          <w:b/>
        </w:rPr>
        <w:t>y CUENTAS</w:t>
      </w:r>
      <w:r>
        <w:rPr>
          <w:b/>
        </w:rPr>
        <w:t xml:space="preserve"> POR PAGAR DE NÓMINA, es determinar los periodos de pago pendientes, por medio del cálculo de rotación.</w:t>
      </w:r>
    </w:p>
    <w:p w14:paraId="0000001D" w14:textId="264AF5D1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COSTOS Y GASTOS DE SEGURIDAD SOCIAL: </w:t>
      </w:r>
      <w:r>
        <w:t>Costos y gastos asociados a los beneficios de empleados, específicamente en lo correspondiente a: seguridad social (salud, pensión, cajas de compensación y otros pagos), en este rubro no se incluye valores de cesantías, intereses de cesantías, vacaciones, primas de servicio, otras primas y otros beneficios de esta condición que, según la empresa estén cobijados los empleados.</w:t>
      </w:r>
      <w:r w:rsidR="005C03BF">
        <w:t xml:space="preserve"> (Corresponde a la información acumulada al mes de reporte)</w:t>
      </w:r>
    </w:p>
    <w:p w14:paraId="0000001E" w14:textId="3C0D0F80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CUENTAS POR PAGAR SEGURIDAD SOCIAL: </w:t>
      </w:r>
      <w:r>
        <w:t>Obligaciones pendientes de pago relacionadas con seguridad social (salud, pensión, cajas de compensación y otros pagos); esto corresponde al valor pendiente de pago del ítem anterior (</w:t>
      </w:r>
      <w:r>
        <w:rPr>
          <w:b/>
        </w:rPr>
        <w:t>COSTOS Y GASTOS DE SEGURIDAD SOCIAL).</w:t>
      </w:r>
      <w:r w:rsidR="005C03BF">
        <w:rPr>
          <w:b/>
        </w:rPr>
        <w:t xml:space="preserve"> </w:t>
      </w:r>
      <w:r w:rsidR="005C03BF">
        <w:t>(Corresponde a la información acumulada al mes de reporte).</w:t>
      </w:r>
    </w:p>
    <w:p w14:paraId="0000001F" w14:textId="0C39B0AF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Nota: La finalidad de los conceptos COSTOS Y GASTOS DE SEGURIDAD SOCIAL y CUENTAS POR PAGAR SEGURIDAD SOCIAL, es determinar los periodos de pago pendientes, por medio del cálculo de rotación</w:t>
      </w:r>
    </w:p>
    <w:p w14:paraId="00000020" w14:textId="5401CDCC" w:rsidR="003D7EC9" w:rsidRDefault="00854AAC">
      <w:pPr>
        <w:spacing w:before="240" w:after="240"/>
        <w:jc w:val="both"/>
      </w:pPr>
      <w:r>
        <w:rPr>
          <w:b/>
        </w:rPr>
        <w:t xml:space="preserve">VALOR PROPIEDAD PLANTA Y EQUIPO (SIN DEPRECIACIÓN): </w:t>
      </w:r>
      <w:r w:rsidR="0098618B">
        <w:t>C</w:t>
      </w:r>
      <w:r>
        <w:t>orresponde al saldo de activos que posee la prestadora para su uso en la producción o el suministro de bienes y servicios, para arrendarlos a terceros o para propósitos administrativos y que se esperan utilizar dura</w:t>
      </w:r>
      <w:r w:rsidR="00595F9E">
        <w:t xml:space="preserve">nte más de un periodo (NIC 16), sin incluir, los activos clasificados como </w:t>
      </w:r>
      <w:r w:rsidR="00595F9E">
        <w:lastRenderedPageBreak/>
        <w:t xml:space="preserve">propiedad de inversión </w:t>
      </w:r>
      <w:r w:rsidR="00595F9E" w:rsidRPr="00540FC5">
        <w:t>y los activos por derecho de uso.</w:t>
      </w:r>
      <w:r w:rsidR="005C03BF">
        <w:t xml:space="preserve"> (Corresponde a la información acumulada al mes de reporte).</w:t>
      </w:r>
    </w:p>
    <w:p w14:paraId="00000021" w14:textId="5BB28032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DEPRECIACIÓN: </w:t>
      </w:r>
      <w:r>
        <w:t>Pérdida de valor de un bien, como consecuencia de su desgaste con el paso del tiempo, el valor a suministrar corresponde a la depreciación acumulada de los activos fijos.</w:t>
      </w:r>
      <w:r w:rsidR="005C03BF">
        <w:t xml:space="preserve"> (Corresponde a la información acumulada al mes de reporte).</w:t>
      </w:r>
    </w:p>
    <w:p w14:paraId="00000022" w14:textId="240B2C62" w:rsidR="003D7EC9" w:rsidRDefault="00854AAC">
      <w:pPr>
        <w:spacing w:before="240" w:after="240"/>
        <w:jc w:val="both"/>
      </w:pPr>
      <w:r>
        <w:rPr>
          <w:b/>
        </w:rPr>
        <w:t xml:space="preserve">OBLIGACIONES FINANCIERAS CORRIENTES: </w:t>
      </w:r>
      <w:r>
        <w:t>Pasivo que tiene la prestadora con entidades financieras nacionales o extranjeras, la cuales tienen una duración menor a un año.</w:t>
      </w:r>
      <w:r w:rsidR="005C03BF">
        <w:t xml:space="preserve"> (Corresponde a la información acumulada al mes de reporte).</w:t>
      </w:r>
    </w:p>
    <w:p w14:paraId="00000023" w14:textId="7E0BC17F" w:rsidR="003D7EC9" w:rsidRDefault="00854AAC">
      <w:pPr>
        <w:spacing w:before="240" w:after="240"/>
        <w:jc w:val="both"/>
      </w:pPr>
      <w:r>
        <w:rPr>
          <w:b/>
        </w:rPr>
        <w:t xml:space="preserve">OBLIGACIONES FINANCIERAS NO CORRIENTES: </w:t>
      </w:r>
      <w:r>
        <w:t>Conformado por todas aquellas deudas y obligaciones con la banca nacional o extranjera que tiene la prestadora a largo plazo, es decir, las deudas cuyo vencimiento es mayor a un año.</w:t>
      </w:r>
      <w:r w:rsidR="005C03BF">
        <w:t xml:space="preserve"> (Corresponde a la información acumulada al mes de reporte).</w:t>
      </w:r>
    </w:p>
    <w:p w14:paraId="00000024" w14:textId="14BBA73E" w:rsidR="003D7EC9" w:rsidRDefault="00854AAC">
      <w:pPr>
        <w:spacing w:before="240" w:after="240"/>
        <w:jc w:val="both"/>
      </w:pPr>
      <w:r>
        <w:rPr>
          <w:b/>
        </w:rPr>
        <w:t xml:space="preserve">OTROS PRÉSTAMOS CORRIENTES: </w:t>
      </w:r>
      <w:r>
        <w:t>Obligaciones u otros préstamos a corto plazo (menores a un año), con entidades diferentes a las financieras (préstamos de tercero</w:t>
      </w:r>
      <w:r w:rsidR="005C03BF">
        <w:t>s, vinculados económicos, etc.). (Corresponde a la información acumulada al mes de reporte).</w:t>
      </w:r>
    </w:p>
    <w:p w14:paraId="00000025" w14:textId="7F68D31E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OTROS PRÉSTAMOS NO CORRIENTES: </w:t>
      </w:r>
      <w:r>
        <w:t>Obligaciones u otros préstamos a largo plazo, (mayor a un año) con entidades diferentes a las financieras (préstamos de terceros, vinculados económicos, etc.)</w:t>
      </w:r>
      <w:r w:rsidR="005C03BF">
        <w:t>. (Corresponde a la información acumulada al mes de reporte).</w:t>
      </w:r>
    </w:p>
    <w:p w14:paraId="00000027" w14:textId="3042FFE5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RECURSOS PROVENIENTES DE DESEMBOLSOS DE CRÉDITOS (</w:t>
      </w:r>
      <w:r w:rsidR="00290EA0">
        <w:rPr>
          <w:b/>
        </w:rPr>
        <w:t xml:space="preserve">Prestadores </w:t>
      </w:r>
      <w:r>
        <w:rPr>
          <w:b/>
        </w:rPr>
        <w:t>AAA)</w:t>
      </w:r>
      <w:r w:rsidR="00290EA0">
        <w:rPr>
          <w:b/>
        </w:rPr>
        <w:t xml:space="preserve">: </w:t>
      </w:r>
      <w:r w:rsidR="00290EA0">
        <w:t>Valor de los recursos reconocidos por concepto de créditos obtenidos</w:t>
      </w:r>
      <w:r w:rsidR="005C03BF">
        <w:t xml:space="preserve"> durante el mes reportado. </w:t>
      </w:r>
    </w:p>
    <w:p w14:paraId="00000029" w14:textId="6E1644E8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>ENTIDAD CREDITICIA QUE REALIZÓ EL DESEMBOLSO (</w:t>
      </w:r>
      <w:r w:rsidR="00290EA0">
        <w:rPr>
          <w:b/>
        </w:rPr>
        <w:t xml:space="preserve">Prestadores </w:t>
      </w:r>
      <w:r>
        <w:rPr>
          <w:b/>
        </w:rPr>
        <w:t>AAA)</w:t>
      </w:r>
      <w:r w:rsidR="00290EA0">
        <w:rPr>
          <w:b/>
        </w:rPr>
        <w:t xml:space="preserve">: </w:t>
      </w:r>
      <w:r w:rsidR="00290EA0">
        <w:t>En caso de haber reconocido recursos por concepto de créditos obtenidos</w:t>
      </w:r>
      <w:r w:rsidR="00013384">
        <w:t xml:space="preserve"> durante el mes reportado</w:t>
      </w:r>
      <w:r w:rsidR="00290EA0">
        <w:t xml:space="preserve">, indicar el nombre de la entidad que realizó dicho desembolso, caso contrario indicar “N/A”. </w:t>
      </w:r>
      <w:r>
        <w:rPr>
          <w:b/>
        </w:rPr>
        <w:t xml:space="preserve"> </w:t>
      </w:r>
    </w:p>
    <w:p w14:paraId="441F4B38" w14:textId="24F29B7D" w:rsidR="00290EA0" w:rsidRDefault="00854AAC" w:rsidP="00290EA0">
      <w:pPr>
        <w:spacing w:before="240" w:after="240"/>
        <w:jc w:val="both"/>
        <w:rPr>
          <w:b/>
        </w:rPr>
      </w:pPr>
      <w:r>
        <w:rPr>
          <w:b/>
        </w:rPr>
        <w:t>DESTINACIÓN DE LOS RECURSOS DE LA SOLICITUD DE CRÉDITO (</w:t>
      </w:r>
      <w:r w:rsidR="00290EA0">
        <w:rPr>
          <w:b/>
        </w:rPr>
        <w:t xml:space="preserve">Prestadores </w:t>
      </w:r>
      <w:r>
        <w:rPr>
          <w:b/>
        </w:rPr>
        <w:t>AAA)</w:t>
      </w:r>
      <w:r w:rsidR="00290EA0">
        <w:rPr>
          <w:b/>
        </w:rPr>
        <w:t xml:space="preserve">: </w:t>
      </w:r>
      <w:r w:rsidR="00290EA0">
        <w:t>En caso de haber reconocido recursos por concepto de créditos obtenidos</w:t>
      </w:r>
      <w:r w:rsidR="00013384">
        <w:t xml:space="preserve"> durante el mes reportado</w:t>
      </w:r>
      <w:r w:rsidR="00290EA0">
        <w:t xml:space="preserve">, indicar el destino que tendrán dichos recursos, caso contrario indicar “N/A”. </w:t>
      </w:r>
      <w:r w:rsidR="00290EA0">
        <w:rPr>
          <w:b/>
        </w:rPr>
        <w:t xml:space="preserve"> </w:t>
      </w:r>
    </w:p>
    <w:p w14:paraId="0000002C" w14:textId="6ED323BA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MONTO </w:t>
      </w:r>
      <w:r w:rsidR="00290EA0">
        <w:rPr>
          <w:b/>
        </w:rPr>
        <w:t xml:space="preserve">DE CRÉDITO </w:t>
      </w:r>
      <w:r>
        <w:rPr>
          <w:b/>
        </w:rPr>
        <w:t>SOLICITADO (</w:t>
      </w:r>
      <w:r w:rsidR="00290EA0">
        <w:rPr>
          <w:b/>
        </w:rPr>
        <w:t xml:space="preserve">Prestadores </w:t>
      </w:r>
      <w:r>
        <w:rPr>
          <w:b/>
        </w:rPr>
        <w:t>AAA)</w:t>
      </w:r>
      <w:r w:rsidR="00290EA0">
        <w:rPr>
          <w:b/>
        </w:rPr>
        <w:t xml:space="preserve">: </w:t>
      </w:r>
      <w:r w:rsidR="00290EA0">
        <w:t xml:space="preserve">En caso de haber radicado una solicitud de crédito durante el mes reportado, indicar el monto solicitado, caso contrario indicar “N/A”. </w:t>
      </w:r>
      <w:r w:rsidR="00290EA0">
        <w:rPr>
          <w:b/>
        </w:rPr>
        <w:t xml:space="preserve"> </w:t>
      </w:r>
    </w:p>
    <w:p w14:paraId="0000002D" w14:textId="77777777" w:rsidR="003D7EC9" w:rsidRDefault="00854AAC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14:paraId="0000002E" w14:textId="77777777" w:rsidR="003D7EC9" w:rsidRDefault="003D7EC9"/>
    <w:sectPr w:rsidR="003D7E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5515"/>
    <w:multiLevelType w:val="multilevel"/>
    <w:tmpl w:val="9D4E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C9"/>
    <w:rsid w:val="00013384"/>
    <w:rsid w:val="00290EA0"/>
    <w:rsid w:val="002F3E59"/>
    <w:rsid w:val="003C0605"/>
    <w:rsid w:val="003D7EC9"/>
    <w:rsid w:val="003E2712"/>
    <w:rsid w:val="0051025A"/>
    <w:rsid w:val="00540FC5"/>
    <w:rsid w:val="00595F9E"/>
    <w:rsid w:val="005C03BF"/>
    <w:rsid w:val="00672868"/>
    <w:rsid w:val="007042DE"/>
    <w:rsid w:val="00716870"/>
    <w:rsid w:val="007C24D8"/>
    <w:rsid w:val="00854AAC"/>
    <w:rsid w:val="00870ECF"/>
    <w:rsid w:val="00877B40"/>
    <w:rsid w:val="008C498E"/>
    <w:rsid w:val="0098618B"/>
    <w:rsid w:val="009F3273"/>
    <w:rsid w:val="00C87C71"/>
    <w:rsid w:val="00E61971"/>
    <w:rsid w:val="00E95F9A"/>
    <w:rsid w:val="00F05ECC"/>
    <w:rsid w:val="00FF65C5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CF9C"/>
  <w15:docId w15:val="{D5EFA6EF-F62F-4728-9729-37281724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/>
    <w:unhideWhenUsed/>
    <w:rsid w:val="007C24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24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24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24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24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4D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4D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C0E4-21A2-4085-A7CD-6A323265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1736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Luisa Fernanda Camargo Sanchez</cp:lastModifiedBy>
  <cp:revision>3</cp:revision>
  <dcterms:created xsi:type="dcterms:W3CDTF">2020-11-11T20:28:00Z</dcterms:created>
  <dcterms:modified xsi:type="dcterms:W3CDTF">2020-11-11T20:28:00Z</dcterms:modified>
</cp:coreProperties>
</file>